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5-24-283/2019</w:t>
      </w:r>
    </w:p>
    <w:p w:rsidR="00A77B3E"/>
    <w:p w:rsidR="00A77B3E">
      <w:r>
        <w:t>ПОСТАНОВЛЕНИЕ</w:t>
      </w:r>
    </w:p>
    <w:p w:rsidR="00A77B3E">
      <w:r>
        <w:t xml:space="preserve">  дата</w:t>
        <w:tab/>
        <w:tab/>
        <w:t xml:space="preserve">                            </w:t>
        <w:tab/>
        <w:t xml:space="preserve">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- Управления Пенсионного фонда РФ в адрес, в отношении должностного лица -</w:t>
      </w:r>
    </w:p>
    <w:p w:rsidR="00A77B3E">
      <w:r>
        <w:t xml:space="preserve">... фио, паспортные данные, гражданина Российской Федерации, директора наименование организации (далее по тексту – наименование организации,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......... являясь должностным лицом – директором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....... сведения по форме СЗВ-М за дата предоставил в орган пенсионного фонда с нарушением срока, а именно дата в форме электронного документа с использованием информационно-телекоммуникационных сетей.</w:t>
      </w:r>
    </w:p>
    <w:p w:rsidR="00A77B3E">
      <w:r>
        <w:t>.......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.......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  Исследовав представленные материалы дела, мировой судья приходит к выводу о том, что вина ....... полностью установлена и подтверждается совокупностью собранных по делу доказательств, а именно: протоколом об административном правонарушении № 000129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....... является директором наименование организации (л.д. 2-4); извещением о доставке в УПФР адрес сведений по форме СЗВ-М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 Действия .......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.........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...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.........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 Разъяснить .......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 xml:space="preserve">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