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5-24-303/2019</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Эмералиева фио, паспортные данные к/совет Шуралисай адрес, адрес, женатого, не работающего, имеющего на иждивении несовершеннолетнего ребенка,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 км. + 500 м. адрес с Украиной 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003592 от дата, из которого следует, что фио дата в время на 688 км. + 500 м. адрес с Украиной 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006569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не работает, имеет на иждивении несовершеннолетнего ребенка, паспортные данные; ранее к административной ответственности не привлекался (л.д. 7);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Эмералиева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