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5-24-303/2022</w:t>
      </w:r>
    </w:p>
    <w:p w:rsidR="00A77B3E">
      <w:r>
        <w:t>ПОСТАНОВЛЕНИЕ</w:t>
      </w:r>
    </w:p>
    <w:p w:rsidR="00A77B3E">
      <w:r>
        <w:t>по делу об административном правонарушении</w:t>
      </w:r>
    </w:p>
    <w:p w:rsidR="00A77B3E"/>
    <w:p w:rsidR="00A77B3E">
      <w:r>
        <w:t xml:space="preserve">дата             </w:t>
        <w:tab/>
        <w:tab/>
        <w:t xml:space="preserve">                                              адрес</w:t>
      </w:r>
    </w:p>
    <w:p w:rsidR="00A77B3E"/>
    <w:p w:rsidR="00A77B3E">
      <w:r>
        <w:t>И.о. мирового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 гражданина России, не работающего, зарегистрированного по адресу: адрес, проживающего по адресу: адрес, </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находясь по адресу: адрес, потребил наркотическое средство – «марихуана», без назначения врача.</w:t>
      </w:r>
    </w:p>
    <w:p w:rsidR="00A77B3E">
      <w:r>
        <w:t>фио в суде виновным себя в совершении правонарушения признал, пояснил, что наркотические средства не употребляет, на учете как лицо, страдающее наркоманией, не состоит.</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от дата (л.д. 2); рапортом сотрудника полиции о выявлении факта совершения административного правонарушения (л.д. 4, 24, 25, 37); актом медицинского освидетельствования на состояние опьянения № 73 от дата, в соответствии с которым в организме фио обнаружена 11-нор-Д-9-тетрагидроканнабиноловая кислота, установлен факт опьянения лица (л.д. 5); справкой о результатах химико-токсикологических исследований (л.д. 6).</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фио, который ранее привлекался к административной ответственности (л.д. 38); его имущественное положение.</w:t>
      </w:r>
    </w:p>
    <w:p w:rsidR="00A77B3E">
      <w:r>
        <w:t>Обстоятельств, смягчающих и отягчающих ответственность, не установлено.</w:t>
      </w:r>
    </w:p>
    <w:p w:rsidR="00A77B3E">
      <w:r>
        <w:t xml:space="preserve">С учетом конкретных обстоятельств дела, данных о личности правонарушителя,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0410760300245003032206106, назначение платежа: «штраф по делу об административном правонарушении № 5-24-303/2022».</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