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5-24-315/2020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работающей, не замужней, зарегистрированной по адресу: адрес, 13, проживающей по адресу: адрес,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торгового павильона по адресу: адрес, ул. фио, 25, осуществляла розничную продажу алкогольной продукции (вина),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ее отсутствие.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319107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рапортом сотрудника полиции от дата о выявлении факта совершения административного правонарушения (л.д. 15); протоколом осмотра от дата (л.д. 16); протоколом изъятия спиртосодержащей продукции от дата (л.д. 5); письменным объяснением фио (л.д. 18); письменным объяснением свидетеля фио (л.д. 19);12, 13); заключением эксперта № 1763/3-4 от дата (л.д. 10-14).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которая ранее не привлекалась к административной ответственности, ее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ранее к административной ответственности не привлекалась,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изъятия от дата алкогольную (спиртосодержащую) продукцию (л.д. 17), находящуюся на хранении в камере хранения ОМВД России по адрес (л.д. 31),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5-24-315/2020.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