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5-24-334/2020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работающего, женатого, имеющего на иждивении двоих несовершеннолетних детей, проживающего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... дата в время по адресу: адрес, осуществлял незаконную продажу спиртосодержащей продукции, реализация которой запрещена, чем нарушила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ст. 14.2 КоАП РФ.</w:t>
      </w:r>
    </w:p>
    <w:p w:rsidR="00A77B3E">
      <w:r>
        <w:t>фио ... в судебное заседание не явился, о дне, времени и месте судебного разбирательства был уведомлен заблаговременно, надлежащим образом, посредством телефонограммы, которая приобщена к материалам дела и зарегистрирована в журнале учета телефонограмм. Просил о рассмотрении дела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фио...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2), рапортом сотрудника полиции о выявлении факта административного правонарушения от дата (л.д. 6); протоколом осмотра места происшествия от дата, в ходе которого была изъята спиртосодержащая продукция (л.д. 7-8); письменным объяснением фио...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фио... не выдавалась.</w:t>
      </w:r>
    </w:p>
    <w:p w:rsidR="00A77B3E">
      <w:r>
        <w:t xml:space="preserve">Таким образом, действия его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фио ... женат, имеет на иждивении двоих несовершеннолетних детей, ранее к административной ответственности не привлекался, что суд относит к числу смягчающих ответственность обстоятельств.</w:t>
      </w:r>
    </w:p>
    <w:p w:rsidR="00A77B3E">
      <w:r>
        <w:t>При этом 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Сторож фио виновным в совершении административного правонарушения, предусмотренного ст. 14.2 КоАП РФ, и назначить ему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фио... в ходе осмотра места происшествия дата алкогольную (спиртосодержащую) продукцию, находящуюся на хранении в камере хранения ОМВД России по адрес (л.д. 7, 8),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5-24-334/2020.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