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5-24-337/2021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Российской Федерации, занимающего должность председателя ......),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...» (место нахождения: адрес), нарушил установленный законодательством о налогах и сборах срок представления расчета по страховым взносам за первое полугодие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первое полугодие дата является дата. </w:t>
      </w:r>
    </w:p>
    <w:p w:rsidR="00A77B3E">
      <w:r>
        <w:t xml:space="preserve">фио представил в налоговый орган расчет по страховым взносам за первое полугодие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ЕГРЮЛ, согласно которой фио является председателем  ...» (л.д. 18-20); сведениями фио, которыми подтверждается факт представления в налоговый орган расчета по страховым взносам в электронной форме за первое полугодие дата – дата, то есть с нарушением установленного законом срока (л.д. 16)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