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5-24-340/2021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  <w:tab/>
        <w:t xml:space="preserve">    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фио, паспортные данные, УССР, работающего директором наименование организации (адрес местонахождения: адрес),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(далее – наименование организации), не представил в установленный законодательством срок пояснения на требование о предоставлении пояснений от дата № 5372, что является нарушением требований п. 3 ст. 88 НК РФ.</w:t>
      </w:r>
    </w:p>
    <w:p w:rsidR="00A77B3E">
      <w:r>
        <w:t>Так, в соответствии с п. 3 ст. 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Так, предельным сроком предоставления пояснений на требование о предоставлении пояснений от дата № 5372 является - дата. Пояснения на требование о предоставлении пояснений фио не представил,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1-2); требованием № 5372 о представлении пояснений от дата (л.д. 4), квитанцией о приеме (л.д. 5), актом об обнаружении фактов, свидетельствующих о предусмотренных НК РФ налоговых правонарушениях (л.д. 10-11);  выпиской из ЕГРЮЛ об наименование организации, в котором в том числе содержатся сведения о его директоре – фио (л.д. 14-16).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телефон, код бюджетной классификации КБК – телефон телефон, наименование платежа – штраф по делу об административном правонарушении № 5-24-340/2021.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