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5 по адрес в адрес адрес осуществлял предпринимательскую деятельность без государственной регистрации в качестве индивидуального предпринимателя, а именно осуществлял перевозку пассажиров за денежное вознаграждение,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уведомлен заблаговременно, надлежащим образом, в материалах дела содержится ходатайство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10); письменным объяснением лица, в отношении которого ведется производство по делу, из которого усматривается признание вины в содеянном (л.д. 4)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5-24-349/2020.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