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5-24-350/2019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Муртазаева фио, паспортные данные, не работающего, зарегистрированного и проживающего по адресу: адрес ...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 от дата, из которого следует, что фио дата в время на 688-м км. + 500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фиоадрес, которые могли бы повлечь его недействительность, протокол не содержит;</w:t>
      </w:r>
    </w:p>
    <w:p w:rsidR="00A77B3E">
      <w:r>
        <w:t>- протоколом серии 82 ОТ № 006479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опьянения в медицинском учреждении, от чего фио также отказался (л.д. 12).</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не работает,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Муртазаева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18810491196000005560.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