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5-24-350/2020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не работающей, замужней, имеющей на иждивении одного несовершеннолетнего ребенка,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осуществляла предпринимательскую деятельность без государственной регистрации в качестве индивидуального предпринимателя, а именно сдала комнату за денежное вознаграждение,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уведомлена заблаговременно, надлежащим образом, в материалах дела содержится ходатайство о рассмотрении дела в ее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3); письменным объяснением лица, в отношении которого ведется производство по делу, из которого усматривается признание вины в содеянном (л.д. 9)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ее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виновной, которая имеет на иждивении несовершеннолетнего ребенка, ее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5-24-350/2020.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