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5-24-359/2018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на автодороге граница с Украиной-Симферополь-Алушта-Ялта, 688 км. + 500 м., водитель фио, управлял транспортным средством марка автомобиля, государственный регистрационный знак М 945 СТ 161,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видеозаписью, объяснениями фио, написанными собственноручно.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>Протокол об административном правонарушении составлен в присутствии фио и содержит все необходимые сведения, установленные статьей 28.2 КоАП РФ. Мировой судья полагает, что материалов достаточно для принятия решения по существу.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(УМВД России по адрес), ИНН телефон КПП телефон ОКТМО сумма/сч 40101810335100010001 в Отделении по адрес ЮГУ ЦБ РФ БИК телефон КБК 18811630020016000140 УИН 18810491186000006452.</w:t>
      </w:r>
    </w:p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