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5-24-382/2021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правонарушении, –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Глубочек, адрес, председателя Товарищества собственников недвижимости «...» (далее – ТСН «...»), проживающей по адресу: адрес...,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ТСН «...» (место нахождения: адрес...),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A77B3E">
      <w: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A77B3E">
      <w:r>
        <w:t>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</w:t>
      </w:r>
    </w:p>
    <w:p w:rsidR="00A77B3E">
      <w:r>
        <w:t>8) другие сведения, необходимые для правильного назначения страховой пенсии и накопительной пенсии;</w:t>
      </w:r>
    </w:p>
    <w:p w:rsidR="00A77B3E">
      <w: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A77B3E">
      <w: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A77B3E">
      <w:r>
        <w:t>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7B3E">
      <w:r>
        <w:t>Следовательно, срок предоставления таких сведений в органы пенсионного фонда по форме СЗВ-СТАЖ за дата – не позднее дата. Страхователем сведения по форме СЗВ-СТАЖ тип «Исходная» за дата предоставлены дата.</w:t>
      </w:r>
    </w:p>
    <w:p w:rsidR="00A77B3E">
      <w:r>
        <w:t>Управлением по результатам проведенной сверки сведений о застрахованных лицах по форме СЗВ-СТАЖ и расчета по страховым взносам за дата выявлено, что страхователем не представлены сведения по форме СЗВ-СТАЖ за дата на 1 застрахованное лицо – фио</w:t>
      </w:r>
    </w:p>
    <w:p w:rsidR="00A77B3E">
      <w:r>
        <w:t>Уведомление об устранении ошибок (несоответствий) направлено страхователю по ТКС дата и получено дата.</w:t>
      </w:r>
    </w:p>
    <w:p w:rsidR="00A77B3E">
      <w:r>
        <w:t>Однако фио форму СЗВ-СТАЖ «Дополняющая» за дата представила – дата.</w:t>
      </w:r>
    </w:p>
    <w:p w:rsidR="00A77B3E">
      <w:r>
        <w:t>фио в суде виновной себя в совершении административного правонарушения признала полностью.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000093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ТСН «...» (л.д. 2-4); результатами проверки отчетности (л.д. 5,6).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