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Дело № 5-24-391/2022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 xml:space="preserve">                    адрес</w:t>
      </w:r>
    </w:p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 Люберцы, адрес, работающей директором наименование организации (далее по тексту – наименование организации), проживающей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нарушила установленный законодательством о налогах и сборах срок представления расчета по страховым взносам за полугодие дата в налоговый орган по месту учета, что является нарушением требований п.п. 4 п. 1 ст. 23 НК РФ.</w:t>
      </w:r>
    </w:p>
    <w:p w:rsidR="00A77B3E">
      <w:r>
        <w:t xml:space="preserve"> 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 В соответствии с п.п. 1 ч. 1 ст. 419 НК РФ плательщиками страховых взносов признаются лица, производящие выплаты и иные вознаграждения физическим лицам (организации), являющиеся страхователями в соответствии с федеральными законами о конкретных видах обязательного социального страхования.</w:t>
      </w:r>
    </w:p>
    <w:p w:rsidR="00A77B3E">
      <w:r>
        <w:t xml:space="preserve"> Согласно ч.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 xml:space="preserve">Следовательно, предельный срок представления расчета по страховым взносам за первое полугодие 2021 является дата. </w:t>
      </w:r>
    </w:p>
    <w:p w:rsidR="00A77B3E">
      <w:r>
        <w:t xml:space="preserve">фио представила в налоговый орган расчет по страховым взносам за первое полугодие дата с нарушением установленного срока – дата, чем нарушила вышеуказанные требования НК РФ, то есть совершила административное правонарушение, предусмотренное ст. 15.5 КоАП РФ.   </w:t>
      </w:r>
    </w:p>
    <w:p w:rsidR="00A77B3E">
      <w:r>
        <w:t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 согласно которой фио является директором наименование организации (л.д. 19-23); сведениями фио, которыми подтверждается факт представления в налоговый орган расчета по страховым взносам в электронной форме за первое полугодие дата – дата (л.д. 17), то есть с нарушением установленного законом срока и другими материалами дела. </w:t>
      </w:r>
    </w:p>
    <w:p w:rsidR="00A77B3E">
      <w:r>
        <w:t xml:space="preserve"> 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ей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