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№ 5-24-402/2024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     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22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ИНН ..., работающего генеральным директором наименование организации, проживающего по адресу: адрес ...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дата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               12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12 месяцев дата в форме электронного документа – дата.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фио является генеральный директором наименование организации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79791072009240026193.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 xml:space="preserve">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