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...-412/...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               фио,</w:t>
      </w:r>
    </w:p>
    <w:p w:rsidR="00A77B3E">
      <w:r>
        <w:t xml:space="preserve">рассмотрев материалы дела об административном правонарушении в отношении ... - </w:t>
      </w:r>
    </w:p>
    <w:p w:rsidR="00A77B3E">
      <w:r>
        <w:t>фио, паспортные данные, ИНН ..., ......», проживающей по адресу: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......» (место нахождения: адрес), не представила в установленный законодательством о налогах и сборах срок в налоговый орган по месту учета сведения о доходах физических лиц по форме ...есяцев дата, чем нарушила требования п.п. 4 п. 1 ст. 23 НК РФ.</w:t>
      </w:r>
    </w:p>
    <w:p w:rsidR="00A77B3E">
      <w:r>
        <w:t>В соответствии с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НК РФ 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</w:p>
    <w:p w:rsidR="00A77B3E">
      <w: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предельный срок предоставления сведений по форме ...есяцев дата является дата.</w:t>
      </w:r>
    </w:p>
    <w:p w:rsidR="00A77B3E">
      <w:r>
        <w:t xml:space="preserve">фио представила в налоговый орган сведения по форме ...есяцев дата с нарушением срока, а именно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решения № 69 о привлечении лица к ответственности за налоговое правонарушение от дата... (л.д. 4-5), сведениями из АИС Налог-3 ПРОМ (л.д. 6,10); копией приказа о приеме работника на работу (л.д. 7); копией должностной инструкции бухгалтера (л.д. 8-9); выпиской из ЕГРЮЛ содержащей сведения ...»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д...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0410760300245004122415156, наименование платежа – штраф по делу об административном правонарушении № ...-412/....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 xml:space="preserve">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