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...-413/...4</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фио, паспортные данные, ...; гражданина Российской Федерации, паспортные данные, телефон, зарегистрированного по адресу: адрес;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168 км.+ 800м. адрес с адрес ...лта», водитель ...адресН.,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...адресН. совершил административное правонарушение, предусмотренное ч. 4 ст. 12.15 КоАП РФ.</w:t>
      </w:r>
    </w:p>
    <w:p w:rsidR="00A77B3E">
      <w:r>
        <w:t>В судебное заседание ...адресН.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а также в материалах дела,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...адресН. был уведомлен надлежащим образом, судебной повесткой, по адресу регистрации.</w:t>
      </w:r>
    </w:p>
    <w:p w:rsidR="00A77B3E">
      <w:r>
        <w:t>К назначенному времени ...адресН. в судебное заседание не явился, судебное заседание было отложено на время дата....</w:t>
      </w:r>
    </w:p>
    <w:p w:rsidR="00A77B3E">
      <w:r>
        <w:t>О дате, времени и месте проведения судебного заседания ...адресН. заблаговременно был извещен надлежащим образом, судебной повесткой, по адресу регистрации.</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 ходатайств об отложении рассмотрения дела мировому судье не поступало.</w:t>
      </w:r>
    </w:p>
    <w:p w:rsidR="00A77B3E">
      <w:r>
        <w:t xml:space="preserve">Так, ...адресН.,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...адресН.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...адресН.</w:t>
      </w:r>
    </w:p>
    <w:p w:rsidR="00A77B3E">
      <w:r>
        <w:t>Исследовав материалы дела, суд приходит к выводу о том, что виновность ...адресН.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...адресН.,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243858 от дата..., в котором указано место, время, состав правонарушения (л.д. 1); видеозаписью обеспечения мер производства по делу об административном правонарушении (л.д. 2); копией протокола об АП 82 АП № 24359 от дата... (л.д. 3); справкой ИДПС ОГИБДД от дата... (л.д. 5); карточкой операции с ВУ (л.д. 6); результатами поиска правонарушений (л.д. 7-9).</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...адресН. установлена всеми признаками состава административного правонарушения.</w:t>
      </w:r>
    </w:p>
    <w:p w:rsidR="00A77B3E">
      <w:r>
        <w:t>Действия ...адресН.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...адресН.,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18810491241500003451.</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