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...425...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           адрес, паспортные данные, зарегистрирована и проживает по адресу: адрес, адрес,</w:t>
      </w:r>
    </w:p>
    <w:p w:rsidR="00A77B3E">
      <w:r>
        <w:t>по ч. 2 ст. 15.33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дата подала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</w:t>
      </w:r>
    </w:p>
    <w:p w:rsidR="00A77B3E">
      <w:r>
        <w:t>фио в судебном заседании, которой разъяснены права, предусмотренные ст. ст. 25.1 КоАП РФ и ст. 51 Конституции РФ, пояснил, что в услугах адвоката (защитника) не нуждается, отводов не заявила, вину признала, в содеянном раскаялась.</w:t>
      </w:r>
    </w:p>
    <w:p w:rsidR="00A77B3E">
      <w:r>
        <w:t>Выслушав фио,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4); формой ЕФС – 1 (л.д. 6); скриншотом о получении единой формы ЕФС -1 (л.д. 9); выпиской из Единого государственного реестра юридических лиц согласно которой, фио является генеральным директором наименование организации (л.д. 10-11).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 xml:space="preserve">  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Обстоятельств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79791071609240026533.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