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5-24-429/2019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ОГИБДД ОМВД России по адрес, в отношении </w:t>
      </w:r>
    </w:p>
    <w:p w:rsidR="00A77B3E">
      <w:r>
        <w:t xml:space="preserve">фио, паспортные данные, официально не трудоустроенного, проживающего по адресу: адрес,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718-м км. + 200 м. автодороги А 002 адрес, управляя мопедом марка автомобиля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фио ... в суде виновным себя в совершении административного правонарушения признал полностью, пояснил, что употреблял спиртные напитки, поэтому отказался от прохождения освидетельствования.</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011131 от дата, из которого следует, что фио... дата в время на 718-м км. + 200 м. автодороги А 002 адрес, управляя мопедом марка автомобиля Леад»,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о направлении фио...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на состояние опьянения (л.д. 4);</w:t>
      </w:r>
    </w:p>
    <w:p w:rsidR="00A77B3E">
      <w:r>
        <w:t>- информацией из ФИС ГИБДД, в соответствии с которой водительское удостоверение фио... не получал, а также среди лиц, лишенных права управления всеми видами транспортных средств на адрес фио... не значится. Ранее к административной ответственности не привлекался (л.д. 11,12).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официально не трудоустроен, ранее к административной ответственности не привлекался (л.д. 12);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 (л.д. 7).</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