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5-24-443/2020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 фио, паспортные данные, гражданина России, занимающей должность ... «...» (место нахождения: адрес, адрес), проживающей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... «...», нарушила установленный законодательством о налогах и сборах срок представления в налоговый орган по месту учета расчета по страховым взносам за полугодие дата.</w:t>
      </w:r>
    </w:p>
    <w:p w:rsidR="00A77B3E">
      <w:r>
        <w:t>Так, 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>
      <w:r>
        <w:t xml:space="preserve">Следовательно, предельный срок представления расчета по страховым взносам за полугодие дата – не позднее дата. </w:t>
      </w:r>
    </w:p>
    <w:p w:rsidR="00A77B3E">
      <w:r>
        <w:t xml:space="preserve">ТСН «...» расчет по страховым взносам за полугодие дата был представлен в налоговый орган с нарушением установленного срока – дата, чем были нарушены вышеуказанные требования НК РФ, то есть совершено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неявка лица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ЕГРЮЛ, из которой следует, что фио является ... «...» (л.д. 15-17); сведениями фио, которыми подтверждается факт представления в налоговый орган расчета по страховым взносам за полугодие дата дата, то есть с нарушением установленного законом срока (л.д. 13)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виновной,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