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5-24-449/2021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данныеадрес, работающей директором наименование организации,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предоставляются страхователем ежемесячно не позднее 15-го числа месяца, следующего за отчетным месяцев.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в установленный законом срок представлены не были.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Представила ходатайство о рассмотрении дела в ее отсутствие. Также просила заменить наказание в виде штрафа предупреждением.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000130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2-4); результатами проверки сроков сдачи отчетности (л.д. 5-7).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положениями ч. 1 ст. 4.1.1 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В соответствии с ч. 1 ст.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A77B3E">
      <w:r>
        <w:t>В силу ч. 2 ст. 3.4 КоАП РФ 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При назначении административного наказания, в соответствии с требованиями ст.ст. 3.1, 3.5, 4.1, 4.2 и 4.3 КоАП РФ, мировой судья учитывает обстоятельства дела, общественную значимость, характер совершенного правонарушения, степень вины правонарушителя, личность виновной и ее имущественное положение. В качестве  обстоятельств,  смягчающих административную ответственность, учитывается совершение административного правонарушения впервые, а также признание вины в совершении правонарушения.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Мировой судья также учитывает, что данное правонарушение не повлекло вредных последствий, указанных в ч. 2 ст. 3.4 КоАП РФ; ранее фио не привлекалась к административной ответственности; ч. 1 ст. 15.33.2 КоАП РФ не входит в перечень исключений, предусмотренных ч. 2 ст. 3.4 и ч. 2 ст. 4.1.1 КоАП РФ, в отношении которых замена штрафа на предупреждение не применяется; наименование организации включено в Реестр субъектов малого и среднего предпринимательства ФНС России.  </w:t>
      </w:r>
    </w:p>
    <w:p w:rsidR="00A77B3E">
      <w:r>
        <w:t>На основании изложенного, полагаю возможным с учетом положений ст.ст.3.4, 4.1.1 КоАП РФ заменить фио административное наказание в виде штрафа на предупреждение.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</w:t>
        <w:tab/>
        <w:t xml:space="preserve">Признать фио виновной в совершении административного правонарушения, предусмотренного ч. 1 ст. 15.33.2 КоАП РФ, и назначить ей административное наказание, с применением ч. 1 ст. 4.1.1 КоАП РФ, в виде предупреждения.  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