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5-24-458/2021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работающего сварщиком наименование организации, имеющего на иждивении двоих несовершеннолетних детей ..., паспортные данные, проживающего по адресу: адрес,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... по адрес в адрес адрес находился в общественном месте в состоянии алкогольного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 уполномоченным должностным лицом; существенных недостатков, которые могли бы повлечь его недействительность, протокол не содержит (л.д. 5); рапортом сотрудника полиции о выявлении административного правонарушения (л.д. 12); актом медицинского освидетельствования на состояние опьянения № 170 от дата, согласно которому фио отказался от прохождения медицинского освидетельствования на состояние опьянения (л.д. 11); письменными объяснениями фио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работает, женат, имеет на иждивении несовершеннолетних детей ... и паспортные данные,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В судебном заседании фио признал свою вину в совершении правонарушения, что мировой судья относит к числу обстоятельств, смягчающих административную ответственность.</w:t>
      </w:r>
    </w:p>
    <w:p w:rsidR="00A77B3E">
      <w:r>
        <w:t>Отягчающих ответственность обстоятельств судом не установлено.</w:t>
      </w:r>
    </w:p>
    <w:p w:rsidR="00A77B3E">
      <w:r>
        <w:t>С учетом конкретных обстоятельств дела, данных о личности правонарушителя, наличия обстоятельства, смягчающего ответственность и отсутствия обстоятельств, отягчающих административную ответственность, считаю необходимым назначить фио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РК № 378799 от дата, фио доставлен в орган внутренних дел дата в время, где содержался до время дата.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>
      <w:r>
        <w:t xml:space="preserve">            Срок административного ареста фио исчислять с момента доставления в соответствии со ст. ....2 КоАП РФ – с время дата.   </w:t>
      </w:r>
    </w:p>
    <w:p w:rsidR="00A77B3E">
      <w:r>
        <w:t>Зачесть фио время содержания в специальном приемнике для содержания лиц, арестованных в административном порядке, в период с время дата до время дата, в связи с чем освободить его от дальнейшего отбытия наказания.</w:t>
      </w:r>
    </w:p>
    <w:p w:rsidR="00A77B3E">
      <w:r>
        <w:t xml:space="preserve">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