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5-24-467/2020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на 688-м км.+500 м. адрес с Украиной-Симферополь-Алушта-Ялта»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месту его жительства, которая была возвращена на судебный участок мирового судьи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748225 от дата, из которого следует, фио... дата в время на 688-м км.+500 м. адрес с Украиной-Симферополь-Алушта-Ялта» управлял автомобилем марки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 003445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0,350 мг/л (л.д. 4-5).</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Смягчающих и 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18810491206000006997.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