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5-24-480/2021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ОР ДПС ГИБДД МВД по адрес, в отношении </w:t>
      </w:r>
    </w:p>
    <w:p w:rsidR="00A77B3E">
      <w:r>
        <w:t>фио, паспортные данные, гражданина Российской Федерации, работающего прорабом наименование организации, зарегистрированного по адресу: адрес, проживающего по адресу: адрес,</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на 693-м км. + 100м.  адрес с Украиной-Симферополь-Алушта-Ялта», управляя автомобилем марки марка автомобиля, государственный регистрационный знак ..., в нарушение Правил дорожного движения, совершая обгон впереди двигавшегося транспортного средства, повторно допустил выезд на полосу, предназначенную для встречного движения (линия дорожной разметки 1.1), чем нарушил требования п.п. 1.3 и 9.1.1 ПДД РФ, то есть совершил правонарушение, предусмотренное ч. 5 ст. 12.15 КоАП РФ.</w:t>
      </w:r>
    </w:p>
    <w:p w:rsidR="00A77B3E">
      <w:r>
        <w:t>Ранее, на основании постановления мирового судьи судебного участка № 3 Мотовилизинского судебного района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Штраф по постановлению суда им оплачен не был.</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месту жительства, которая была возвращена на судебный участок мирового судьи за истечением срока хранения.</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содержатся сведения о надлежащем извещении лица о времени и месте рассмотрения дела, ходатайства об отложении рассмотрении дела не заявлено, полагаю возможным рассмотреть дело в отсутствие фио... </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61 АГ № 350566 от дата года, который составлен уполномоченным должностным лицом, с соблюдением процессуальных требований; копия протокола вручена фио..., что подтверждается его подписью в протоколе (л.д. 1); схемой места совершения административного правонарушения, а также видеозаписью события административного правонарушения, на которой видно, как транспортное средство марки марка автомобиля, государственный регистрационный знак ..., выезжает на полосу, предназначенную для встречного движения (л.д. 3, 9); копией постановления мирового судьи судебного участка № 3 Мотовилизинского судебного района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4-6); информацией ГИБДД о том, что по состоянию на дата административный штраф по постановлению мирового судьи от дата не оплачен (л.д. 7).</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Как усматривается из материалов дела, штраф по постановлению суда от дата фио... оплачен не был. </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положение и личность лица, в отношении которого ведется производство по делу об административном правонарушении.</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положения, отсутствия обстоятельств, смягчающих и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производства по делу об административном правонарушении не имеется, срок давности привлечения фио...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ОР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