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5-24-484/2023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...фио, паспортные данные, гражданина России, паспортные данные телефон, работающего атаманом Городского казачьего общества «...» (далее – ......»),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атаманов ......» (место нахождения: адрес),                 дата подал в Отделение фонда пенсионного и социального страхования Российской Федерации по адрес расчет по начисленным и уплаченным страховым взносам (форма 4-ФСС РФ) за ...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...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4); копией расчета Формы 4-ФСС, представленного с нарушением срока (л.д. 6-10); выпиской из ЕГРЮЛ (л.д. 11-13).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79711601230060000140.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