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...-493...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243956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0410760300245004932420187 «Назначение платежа: «штраф по делу об административном правонарушении по постановлению ...-493...».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