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5-24-507/2020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«...»,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50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рапортам о выявлении факта совершения правонарушения (л.д. 4, 5); протоколом о досмотре транспортного средства, в ходе которого в автомобиле фио была обнаружена спиртосодержащая продукция (л.д. 6); протоколом осмотра места происшествия от дата, в ходе которого была изъята спиртосодержащая продукция (л.д. 7-9)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в ходе осмотра места происшествия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в ходе осмотра места происшествия дата спиртосодержащую продукцию (л.д. 7-9),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5-24-507/2020.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