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5-24-522/2020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ОГИБДД ОМВД России по адрес, в отношении </w:t>
      </w:r>
    </w:p>
    <w:p w:rsidR="00A77B3E">
      <w:r>
        <w:t xml:space="preserve">фио, паспортные данные, гражданина РФ, работающего директором наименование организации, женатого,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61 АГ № 737914 от дата, фио дата в время на 706-м км.+100 м. адрес с Украиной-Симферополь-Алушта-Ялта», управляя автомобилем марки марка автомобиля, государственный регистрационный знак ..., в нарушение требований п. 9.1.1 Правил дорожного движения РФ, совершая обгон впереди движущегося транспортного средства, выехал на полосу встречного движения с пересечением линии дорожной разметки 1.1. Данное административное правонарушение является повторным в течение года, поскольку ранее постановлением должностного лица № 18810182191210046727 от дата он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принадлежащим ему автомобилем марки марка автомобиля, совершая обгон впереди двигавшегося транспортного средства,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Указанным автомобилем периодически управляет фио Именно она управляла автомобилем дата, допустила выезд на полосу встречного движения, за что в последующем он (фио), как собственник транспортного средства, постановлением должностного лица от дата был привлечен к административной ответственности по ч. 4 ст. 12.15 КоАП РФ.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61 АГ № 737914 от дата (л.д. 1); видеозапись совершения административного правонарушения (л.д. 2); рапорт сотрудника ГИБДД о выявлении факта совершенного правонарушения (л.д. 3); копия постановления должностного лица ЦАФАП ГИБДД МВД по адрес от дата № 18810182191210046727,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 виновным в совершении административного правонарушения, предусмотренного ч. 4 ст. 12.15 КоАП РФ (л.д. 4); сведения об административных правонарушениях с участием транспортного средства, принадлежащего фио (л.д. 10).</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была допрошена в качестве свидетеля фио, которая, будучи предупрежденной об административном ответственности за дачу ложных показаний, после разъяснения ей содержания ст. 51 Конституции РФ, пояснила суду о том, что периодически управляет транспортным средством фио марки марка автомобиля, государственный регистрационный знак .... Именно она дата управляла указанным автомобилем в адрес, где совершила правонарушение, предусмотренное ч. 4 ст. 12.15 КоАП РФ,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18810491201500002244.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