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5-24-528/2021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 фио, паспортные данные, гражданина России,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фиоО. дата в время по адресу: адрес (павильон общественного питания), осуществлял предпринимательскую деятельность без государственной регистрации в качестве индивидуального предпринимателя, а именно реализовывал за плату продовольственные товары, то есть совершил административное правонарушение, предусмотренное ч. 1 ст. 14.1 КоАП РФ.</w:t>
      </w:r>
    </w:p>
    <w:p w:rsidR="00A77B3E">
      <w:r>
        <w:t xml:space="preserve">фиоО.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фиоО.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№ 9103/17/19 от дата (л.д. 2-3); протоколом осмотра (л.д. 4-5); сведениями о том, что в качестве наименование организацииО. не зарегистрирован (л.д. 6-7).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организацииО.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фиоО., его имущественное и семейное положение.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фиоО. наказание в виде штрафа в минимальном размере, предусмотренном санкцией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5-24-528/2021».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