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5-24-549/2020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гражданина России, женатого, имеющего на иждивении малолетнего ребенка, паспортные данные, не работающего,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осуществлял незаконную розничную продажу спиртосодержащей продукции, чем нарушил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судебное заседание не явился, о дне, времени и месте судебного разбирательства был уведомлен заблаговременно, надлежащим образом.</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свидетельствующие о надлежащем извещении лица, в отношении которого ведется производство по делу об административном правонарушении,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          </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волкову Н.К.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он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рапортом сотрудника полиции о выявлении факта совершенного правонарушения (л.д. 4); протоколом осмотра от дата (л.д. 11); протоколом изъятия от дата (л.д. 12) и другими материалами дела.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его имущественное и семейное положение. </w:t>
      </w:r>
    </w:p>
    <w:p w:rsidR="00A77B3E">
      <w:r>
        <w:t xml:space="preserve">        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изъятия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осмотра места происшествия от дата алкогольную (спиртосодержащую) продукцию (л.д. 12),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5-24-549/2020.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