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5-24-575/2022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фио, паспортные данные, зарегистрированного 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адрес с Украиной Симферополь-Алушта-Ялта» 162 км. + 500 м., фио управлял автомобилем марки ... государственный регистрационный знак ..., в состоянии алкогольного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w:t>
      </w:r>
    </w:p>
    <w:p w:rsidR="00A77B3E">
      <w:r>
        <w:t xml:space="preserve">Выслушав лицо, в отношении которого ведется дело об административном правонарушении, 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фиоС в совершении данного правонарушения подтверждается:</w:t>
      </w:r>
    </w:p>
    <w:p w:rsidR="00A77B3E">
      <w:r>
        <w:t>- протоколом об административном правонарушении серии 82 АП № 156381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038635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3);</w:t>
      </w:r>
    </w:p>
    <w:p w:rsidR="00A77B3E">
      <w:r>
        <w:t>- актом освидетельствования на состояние алкогольного опьянения серии 82 АО № 023411 от дата, с применением технического средства измерения, в результате которого на момент освидетельствования было установлено состояние алкогольного опьянения фиоС, показания прибора – 0,714 мг/л (л.д. 4,5);</w:t>
      </w:r>
    </w:p>
    <w:p w:rsidR="00A77B3E">
      <w:r>
        <w:t>- видеозаписью мер обеспечения производства по делу об административном правонарушении (л.д. 10).</w:t>
      </w:r>
    </w:p>
    <w:p w:rsidR="00A77B3E">
      <w:r>
        <w:t xml:space="preserve">  Протокол об административном правонарушении с внесенными в него исправления должностным лицом ГИБДД направлен фио инспектором ГИБДД по почте (л.д. 19).</w:t>
      </w:r>
    </w:p>
    <w:p w:rsidR="00A77B3E">
      <w:r>
        <w:t xml:space="preserve">  О внесении исправлений в протокол об административном правонарушении фио уведомлялся инспектором ГИБДД в установленном законом порядке (л.д. 17). </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адрес, куда фиоС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л/с 04751А92590; банк получателя – Отделение адрес Банка России; номер счета получателя платежа 03100643000000017500, ОКТМО телефон, ИНН телефон, БИК телефон, К/сч 40102810645370000035, КБК 18811601123010001140, наименование платежа – УИН 18810491226000009455.</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