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5-24-586/2020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>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гражданина России, работающего директором Муниципального бюджетного наименование организации (далее по тексту – ..., место нахождения: адрес), проживающего по адресу: адрес, 62,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директором ..., нарушил установленный законодательством о налогах и сборах срок представления налоговой декларации по налогу на добавленную стоимость за третий квартал дата, в налоговый орган по месту учета.</w:t>
      </w:r>
    </w:p>
    <w:p w:rsidR="00A77B3E">
      <w:r>
        <w:t>Так, в соответствии с п. 5 ст. 174 НК РФ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 xml:space="preserve">Предельный срок представления налоговой декларации по налогу на добавленную стоимость за третий квартал дата является дата. </w:t>
      </w:r>
    </w:p>
    <w:p w:rsidR="00A77B3E">
      <w:r>
        <w:t xml:space="preserve">фио представил в налоговый орган налоговую декларацию по налогу на добавленную стоимость за третий квартал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ab/>
        <w:t>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>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правонарушении,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 xml:space="preserve">         </w:t>
        <w:tab/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2-3); выпиской из ЕГРЮЛ (л.д. 17-21); сведениями фио, которыми подтверждается факт представления в налоговый орган налоговой декларации по налогу на добавленную стоимость в электронной форме за третий квартал дата дата, то есть с нарушением установленного законом срока (л.д. 15-16)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