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5-24-605/2023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 xml:space="preserve">дата в время по адресу: адрес, фио не оплатил в установленный законом срок административный штраф в размере сумма по постановлению                           № 1... от дата, вступившему в законную силу – дата, то есть совершил административное правонарушение, предусмотренное ч.1 ст. 20.25 КоАП РФ.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216255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№ 1... от дата, вступившему в законную силу – дата, за совершение административного правонарушения, предусмотренного ч. 2                   ст. 12.9 КоАП РФ фио назначено наказание в виде штрафа в размере сумма (л.д. 4);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>- карточкой операции с ВУ (л.д. 5);</w:t>
      </w:r>
    </w:p>
    <w:p w:rsidR="00A77B3E">
      <w:r>
        <w:t xml:space="preserve">- карточкой учета правонарушений фио (л.д. 6-7);  </w:t>
      </w:r>
    </w:p>
    <w:p w:rsidR="00A77B3E">
      <w:r>
        <w:t xml:space="preserve">- копией паспорта фио  (л.д. 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УИН 0410760300245006052320124, назначение платежа: «штраф по делу об административном правонарушении № 5-24-605/2023».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