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5-24-613/2019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разведенного, имеющего двоих несовершеннолетних детей,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9, 10); письменным объяснением фио, из которого усматривается признание им вины в содеянном (л.д. 8)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13).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- 18880491190003031295,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