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5-24-649/2018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 судебного района (городской адрес) адрес фио, 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 xml:space="preserve">фио, паспортные данные, гражданина РФ, разведенного, имеющего на иждивении двоих малолетних детей: дочь фио, паспортные данные, и дочь фио, паспортные данные,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+ 500м.  (вблизи адрес)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признал.</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 от дата, из которого следует, что фио дата в время на 688-м километре + 500м.  (вблизи адрес)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8).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имеет на иждивении двоих малолетних детей,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18810491186000011871.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