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Дело № 5-24-661/2018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ab/>
        <w:t xml:space="preserve">                            </w:t>
        <w:tab/>
        <w:t xml:space="preserve">                  адрес</w:t>
      </w:r>
    </w:p>
    <w:p w:rsidR="00A77B3E"/>
    <w:p w:rsidR="00A77B3E">
      <w:r>
        <w:t>Мировой судья судебного участка № ...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фио, паспортные данные, директора наименование организации, проживающей по адресу: адрес, 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директора наименование организации (место нахождения: адрес),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СЗВ-М),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Однако фио сведения по форме СЗВ-М тип «Исходная» за дата были предоставлены в орган пенсионного фонда с нарушением срока, а именно дата.</w:t>
      </w:r>
    </w:p>
    <w:p w:rsidR="00A77B3E">
      <w:r>
        <w:t xml:space="preserve">           фио к мировому судье для участия в рассмотрении дела не явилась, о времени и месте рассмотрения дела об административном правонарушении была уведомлена заблаговременно, надлежащим образом. Ходатайства об отложении рассмотрении дела не поступало.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директора наименование организации фио о месте и времени рассмотрения дела, ходатайства об отложении рассмотрения дела не поступало, имеются предусмотренные законом основания для рассмотрения дела в его отсутствие.</w:t>
      </w:r>
    </w:p>
    <w:p w:rsidR="00A77B3E">
      <w:r>
        <w:t xml:space="preserve">          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00... от дата, составленным уполномоченным лицом в соответствии с требованиями КоАП РФ (л.д. 1); выпиской из Единого государственного реестра юридических лиц, согласно которой фио является директором наименование организации (л.д. 2-4); уведомлением о доставке в УПФР адрес сведений по форме СЗВ-М дата (л.д. 5).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 Признать должностное лицо фио виновной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 xml:space="preserve">  Штраф подлежит перечислению на следующие реквизиты: наименование получателя платежа – УФК по адрес (Отделение Пенсионного фонда РФ по РК); банк получателя – Отделение адрес, БИК телефон, р/с 40101810335100010001, ИНН телефон, КПП телефон, ОКТМО телефон, назначение платежа – КБК 39211620010066000140, административный штраф.</w:t>
      </w:r>
    </w:p>
    <w:p w:rsidR="00A77B3E">
      <w:r>
        <w:t xml:space="preserve"> 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 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...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 xml:space="preserve">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