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5-24-735/2020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Украины, не работающего, зарегистрированного по адресу: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36 по адрес, адрес, адрес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096357 от дата; протокол составлен уполномоченным должностным лицом, с соблюдением процессуальных требований; копия протокола вручена фио (л.д. 1);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6-7); копией протокола изъятия водительского удостоверения у фио от дата (л.д. 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обстоятельству, смягчающему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18810491201500003690.</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