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5-54-777/2019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</w:t>
        <w:tab/>
        <w:t xml:space="preserve">               </w:t>
        <w:tab/>
        <w:t xml:space="preserve">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не работающего, не женатого, проживающего по адресу: адрес, адрес,</w:t>
      </w:r>
    </w:p>
    <w:p w:rsidR="00A77B3E">
      <w:r>
        <w:t>в совершении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время, на а/д граница с Украиной–Симферополь – Алушта–Ялта, адрес перевал (688 км.+500 м) водитель фио на автомобиле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объемом 170 литров.</w:t>
      </w:r>
    </w:p>
    <w:p w:rsidR="00A77B3E">
      <w:r>
        <w:t xml:space="preserve">фио к мировому судье для участия в судебном заседании не явился, о времени и месте рассмотрения дела извещен надлежащим образом телефонограммой. Ходатайств об отложении судебного заседания мировому судье не поступало.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мировой судья полагает возможным рассмотреть данное дело в отсутствие фио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A77B3E">
      <w:r>
        <w:t>Исследовав материалы дела, 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2); заключением эксперта (л.д. 8-26); рапортом сотрудника полиции (л.д. 29); протоколом осмотра места происшествия (л.д. 30-31); объяснением фио (л.д. 33)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Обстоятельств, смягчающих и отягчающих административную ответственность фио, мировым судьей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наказания в виде штрафа в минимальном размере, предусмотренном санкцией статьи 14.17.2 КоАП РФ, с конфискацией продукции, являющейся предметом административного правонарушения. 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с конфискацией алкогольной продукции – 34 пластиковых бутылок, общим объемом 170 литров, находящейся на ответственном хранении в ОМВД России по адрес по адресу: адрес. </w:t>
      </w:r>
    </w:p>
    <w:p w:rsidR="00A77B3E">
      <w:r>
        <w:t>Штраф подлежит перечислению на следующие реквизиты: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18811608010016000140, наименование платежа – штраф, УИН 18880491190003032798.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