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5-24-863/2019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адрес, гражданина РФ, не женатого, не работающего,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 виновным себя в правонарушении признал полностью, раскаялся в содеянном.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 (л.д. 4); рапортом сотрудника полиции о выявлении факта правонарушения (л.д. 7); письменным объяснением лица, в отношении которого ведется производство по делу об административном правонарушении,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К числу обстоятельств, смягчающих ответственность, суд относит признание им вины и раскаяние в содеянном.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штраф, УИН 18880491190003033455.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