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5-24-867/2019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адрес, гражданина Российской Федерации, на момент совершения правонарушения занимавшего должность директора адрес ... «...» (место нахождения: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МБУ «...», нарушил установленный законодательством о налогах и сборах срок представления в налоговый орган по месту учета расчет по страховым взносам за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дата – не позднее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решения налогового органа № 903 от дата о привлечении МБУ «...» к административной ответственности за совершение налогового правонарушения (л.д. 6-10); копией акта камеральной налоговой проверки № 605 от дата (л.д. 11-14); сведениями фио, которыми подтверждается факт представления юридическим лицом в налоговый орган расчета по страховым взносам за дата дата, то есть с нарушением установленного законом срока (л.д. 15); выпиской из ЕГРЮЛ, из которой следует, что фио на момент вменяемого правонарушения являлся директором МБУ «...» (л.д. 16-23).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 изложенное,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