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5-24-891/2019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не работающего,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явились следующие признаки: нарушение речи,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078307 от дата, из которого следует, что фио дата в время на 688-м км.+500 м. адрес с Украиной-Симферополь-Алушта-Ялта», управляя автомобилем марки марка автомобиля,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011560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597663 от дата  о направлении фио на медицинское освидетельствование на состояние опьянения ввиду его отказа от прохождения освидетельствования на состояние алкогольного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алкогольного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12).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ОР ДПС ГИБДД МВД по РК,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18810491196000017666.</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