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69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8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фактически 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вблизи продуктового магазина «Татьяна»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нанес </w:t>
      </w:r>
      <w:r>
        <w:rPr>
          <w:rStyle w:val="cat-FIOgrp-20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несколько ударов кулак</w:t>
      </w:r>
      <w:r>
        <w:rPr>
          <w:rFonts w:ascii="Times New Roman" w:eastAsia="Times New Roman" w:hAnsi="Times New Roman" w:cs="Times New Roman"/>
          <w:sz w:val="25"/>
          <w:szCs w:val="25"/>
        </w:rPr>
        <w:t>ами левой и правой руки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область </w:t>
      </w:r>
      <w:r>
        <w:rPr>
          <w:rFonts w:ascii="Times New Roman" w:eastAsia="Times New Roman" w:hAnsi="Times New Roman" w:cs="Times New Roman"/>
          <w:sz w:val="25"/>
          <w:szCs w:val="25"/>
        </w:rPr>
        <w:t>лица и головы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несколько ударов дверью автомобиля в область туловища, </w:t>
      </w:r>
      <w:r>
        <w:rPr>
          <w:rFonts w:ascii="Times New Roman" w:eastAsia="Times New Roman" w:hAnsi="Times New Roman" w:cs="Times New Roman"/>
          <w:sz w:val="25"/>
          <w:szCs w:val="25"/>
        </w:rPr>
        <w:t>чем причинил последне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телесные повреждения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заключени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FIOgrp-2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установлены повреждения в виде: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кровоподтека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левой щечной области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ссадины правого угла рта, кровоподтека затылочной области головы справа, двух кровоподтеков левого плечевого сустава, кровоподтека правого плеча, кровоподтека грудной клетки справа, множественных ссадин по наружной поверхности правой голени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которые образовались в результате травматических воздействий тупого предмета (предметов), не влекут за собой кратковременного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расстройства здоровья или незначительной стойкой утраты общей трудоспособности и расцениваются как не причинившие вред здоровью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(согласно, </w:t>
      </w:r>
      <w:r>
        <w:rPr>
          <w:rStyle w:val="cat-Addressgrp-6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критериев определения степени тяжести вреда, причиненного здоровью человека», утвержденных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</w:t>
      </w:r>
      <w:r>
        <w:rPr>
          <w:rStyle w:val="cat-Dategrp-14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194 н)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заявление, согласно которому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ответственности, 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тривается нарушение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9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</w:t>
      </w:r>
      <w:r>
        <w:rPr>
          <w:rFonts w:ascii="Times New Roman" w:eastAsia="Times New Roman" w:hAnsi="Times New Roman" w:cs="Times New Roman"/>
          <w:sz w:val="25"/>
          <w:szCs w:val="25"/>
        </w:rPr>
        <w:t>тся в качестве доказательства 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345033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8099 от </w:t>
      </w:r>
      <w:r>
        <w:rPr>
          <w:rStyle w:val="cat-Dategrp-16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20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(л.д.10);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копиями письменных объяснений </w:t>
      </w:r>
      <w:r>
        <w:rPr>
          <w:rStyle w:val="cat-FIOgrp-23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20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22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5-9);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22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15);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выписки из медицинской карты амбулаторного больного </w:t>
      </w:r>
      <w:r>
        <w:rPr>
          <w:rStyle w:val="cat-FIOgrp-20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(л.д.16);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заключением эксперта № 161 от </w:t>
      </w:r>
      <w:r>
        <w:rPr>
          <w:rStyle w:val="cat-Dategrp-13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20-23);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медицинской карты амбулаторного больного </w:t>
      </w:r>
      <w:r>
        <w:rPr>
          <w:rStyle w:val="cat-FIOgrp-20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26-55);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</w:t>
      </w:r>
      <w:r>
        <w:rPr>
          <w:rFonts w:ascii="Times New Roman" w:eastAsia="Times New Roman" w:hAnsi="Times New Roman" w:cs="Times New Roman"/>
          <w:sz w:val="25"/>
          <w:szCs w:val="25"/>
        </w:rPr>
        <w:t>ОУУПиПДН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Addressgrp-7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ейтенанта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олиции </w:t>
      </w:r>
      <w:r>
        <w:rPr>
          <w:rStyle w:val="cat-FIOgrp-24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58)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22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22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8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4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6rplc-4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8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УФК по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0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31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2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3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4rplc-5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5rplc-5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6rplc-5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7rplc-5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0410760300265000692506181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5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5rplc-6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9rplc-11">
    <w:name w:val="cat-Time grp-29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FIOgrp-24rplc-35">
    <w:name w:val="cat-FIO grp-24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ExternalSystemDefinedgrp-38rplc-39">
    <w:name w:val="cat-ExternalSystemDefined grp-38 rplc-39"/>
    <w:basedOn w:val="DefaultParagraphFont"/>
  </w:style>
  <w:style w:type="character" w:customStyle="1" w:styleId="cat-PassportDatagrp-28rplc-40">
    <w:name w:val="cat-PassportData grp-28 rplc-40"/>
    <w:basedOn w:val="DefaultParagraphFont"/>
  </w:style>
  <w:style w:type="character" w:customStyle="1" w:styleId="cat-Sumgrp-26rplc-41">
    <w:name w:val="cat-Sum grp-2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PhoneNumbergrp-36rplc-55">
    <w:name w:val="cat-PhoneNumber grp-36 rplc-55"/>
    <w:basedOn w:val="DefaultParagraphFont"/>
  </w:style>
  <w:style w:type="character" w:customStyle="1" w:styleId="cat-PhoneNumbergrp-37rplc-56">
    <w:name w:val="cat-PhoneNumber grp-37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0rplc-59">
    <w:name w:val="cat-Address grp-10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FIOgrp-25rplc-63">
    <w:name w:val="cat-FIO grp-2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