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№5-26-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0/202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rPr>
          <w:sz w:val="25"/>
          <w:szCs w:val="25"/>
        </w:rPr>
      </w:pPr>
      <w:r>
        <w:rPr>
          <w:rStyle w:val="cat-Dategrp-9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- </w:t>
      </w:r>
      <w:r>
        <w:rPr>
          <w:rStyle w:val="cat-OrganizationNamegrp-21rplc-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(ОГРН 1169102061006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ИНН </w:t>
      </w:r>
      <w:r>
        <w:rPr>
          <w:rStyle w:val="cat-PhoneNumbergrp-25rplc-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КПП 910401001)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юридический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адрес: </w:t>
      </w:r>
      <w:r>
        <w:rPr>
          <w:rStyle w:val="cat-Addressgrp-4rplc-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3 ст. 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РФ,</w:t>
      </w:r>
    </w:p>
    <w:p>
      <w:pPr>
        <w:spacing w:before="0" w:after="0"/>
        <w:ind w:firstLine="851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Style w:val="cat-Dategrp-10rplc-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2rplc-1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А-270 автомобильная </w:t>
      </w:r>
      <w:r>
        <w:rPr>
          <w:rStyle w:val="cat-Addressgrp-8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Луганской </w:t>
      </w:r>
      <w:r>
        <w:rPr>
          <w:rStyle w:val="cat-Addressgrp-6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900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ходе выполнения постоянного рейда на основании решения № 02 от </w:t>
      </w:r>
      <w:r>
        <w:rPr>
          <w:rStyle w:val="cat-Dategrp-11rplc-1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 ос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мотре автобуса марки </w:t>
      </w:r>
      <w:r>
        <w:rPr>
          <w:rStyle w:val="cat-CarMakeModelgrp-23rplc-14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24rplc-15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под управлением водителя </w:t>
      </w:r>
      <w:r>
        <w:rPr>
          <w:rStyle w:val="cat-FIOgrp-16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осуществлявшего перевозку пассажиров по маршруту </w:t>
      </w:r>
      <w:r>
        <w:rPr>
          <w:rStyle w:val="cat-Addressgrp-7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выявлено, что перевозчик </w:t>
      </w:r>
      <w:r>
        <w:rPr>
          <w:rStyle w:val="cat-OrganizationNamegrp-21rplc-1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осуществляет перевозку с нарушением лицензионных требований,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ос</w:t>
      </w:r>
      <w:r>
        <w:rPr>
          <w:rFonts w:ascii="Times New Roman" w:eastAsia="Times New Roman" w:hAnsi="Times New Roman" w:cs="Times New Roman"/>
          <w:sz w:val="25"/>
          <w:szCs w:val="25"/>
        </w:rPr>
        <w:t>тановлением Правительства РФ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12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1616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транспортное средство не оснащено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аппаратурой спутниковой навигации ГЛОНАСС или ГЛОНАСС/GPS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связи с этим, в отношен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ии </w:t>
      </w:r>
      <w:r>
        <w:rPr>
          <w:rStyle w:val="cat-OrganizationNamegrp-21rplc-2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государственным инспектором отдела </w:t>
      </w:r>
      <w:r>
        <w:rPr>
          <w:rFonts w:ascii="Times New Roman" w:eastAsia="Times New Roman" w:hAnsi="Times New Roman" w:cs="Times New Roman"/>
          <w:sz w:val="25"/>
          <w:szCs w:val="25"/>
        </w:rPr>
        <w:t>автотранспортного надзора М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Рос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анс</w:t>
      </w:r>
      <w:r>
        <w:rPr>
          <w:rFonts w:ascii="Times New Roman" w:eastAsia="Times New Roman" w:hAnsi="Times New Roman" w:cs="Times New Roman"/>
          <w:sz w:val="25"/>
          <w:szCs w:val="25"/>
        </w:rPr>
        <w:t>надзора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ЮФО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составлен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№ 1</w:t>
      </w:r>
      <w:r>
        <w:rPr>
          <w:rFonts w:ascii="Times New Roman" w:eastAsia="Times New Roman" w:hAnsi="Times New Roman" w:cs="Times New Roman"/>
          <w:sz w:val="25"/>
          <w:szCs w:val="25"/>
        </w:rPr>
        <w:t>94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OrganizationNamegrp-21rplc-2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административной ответственности, предусмотренной частью 3 статьи 14.1.2 КоАП РФ.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Style w:val="cat-OrganizationNamegrp-21rplc-2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пояснил, что с протоколом согласен, вину признал. Каких-либо заявлений, ходатайств не представил.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>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приходит к следующему.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3 ст. 14.1.2 КоАП РФ,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статьей 11.23 настоящего Кодекса, влечет предупреждение или наложение административного штрафа на должностных лиц и индивидуальных предпринимателей в размере </w:t>
      </w:r>
      <w:r>
        <w:rPr>
          <w:rStyle w:val="cat-SumInWordsgrp-19rplc-26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на юридических лиц - </w:t>
      </w:r>
      <w:r>
        <w:rPr>
          <w:rStyle w:val="cat-SumInWordsgrp-20rplc-27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5"/>
          <w:szCs w:val="25"/>
        </w:rPr>
        <w:t>п.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«д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 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Раздела </w:t>
      </w:r>
      <w:r>
        <w:rPr>
          <w:rFonts w:ascii="Times New Roman" w:eastAsia="Times New Roman" w:hAnsi="Times New Roman" w:cs="Times New Roman"/>
          <w:sz w:val="25"/>
          <w:szCs w:val="25"/>
        </w:rPr>
        <w:t>III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Требований к лицензиатам, утвержденного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остановлени</w:t>
      </w:r>
      <w:r>
        <w:rPr>
          <w:rFonts w:ascii="Times New Roman" w:eastAsia="Times New Roman" w:hAnsi="Times New Roman" w:cs="Times New Roman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Правительства РФ от </w:t>
      </w:r>
      <w:r>
        <w:rPr>
          <w:rStyle w:val="cat-Dategrp-12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1616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О лицензировании деятельности по перевозкам п</w:t>
      </w:r>
      <w:r>
        <w:rPr>
          <w:rFonts w:ascii="Times New Roman" w:eastAsia="Times New Roman" w:hAnsi="Times New Roman" w:cs="Times New Roman"/>
          <w:sz w:val="25"/>
          <w:szCs w:val="25"/>
        </w:rPr>
        <w:t>ассажиров и иных лиц автобусами»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(вместе с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Положением о лицензировании деятельности по перевозкам пассажиров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иных лиц автобусами»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лицензиат обязан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допускать к лицензируемому виду </w:t>
      </w:r>
      <w:r>
        <w:rPr>
          <w:rFonts w:ascii="Times New Roman" w:eastAsia="Times New Roman" w:hAnsi="Times New Roman" w:cs="Times New Roman"/>
          <w:sz w:val="25"/>
          <w:szCs w:val="25"/>
        </w:rPr>
        <w:t>деятельности автобусы</w:t>
      </w:r>
      <w:r>
        <w:rPr>
          <w:rFonts w:ascii="Times New Roman" w:eastAsia="Times New Roman" w:hAnsi="Times New Roman" w:cs="Times New Roman"/>
          <w:sz w:val="25"/>
          <w:szCs w:val="25"/>
        </w:rPr>
        <w:t>, прошедшие в порядке, установленном Министерством транспорта Российской Федерации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соответствии со статьей 20 Федерального закона "О безопасности дорожного движения", </w:t>
      </w:r>
      <w:r>
        <w:rPr>
          <w:rFonts w:ascii="Times New Roman" w:eastAsia="Times New Roman" w:hAnsi="Times New Roman" w:cs="Times New Roman"/>
          <w:sz w:val="25"/>
          <w:szCs w:val="25"/>
        </w:rPr>
        <w:t>предрейсовый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</w:t>
      </w:r>
      <w:r>
        <w:rPr>
          <w:rFonts w:ascii="Times New Roman" w:eastAsia="Times New Roman" w:hAnsi="Times New Roman" w:cs="Times New Roman"/>
          <w:sz w:val="25"/>
          <w:szCs w:val="25"/>
        </w:rPr>
        <w:t>предсменный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>
        <w:rPr>
          <w:rFonts w:ascii="Times New Roman" w:eastAsia="Times New Roman" w:hAnsi="Times New Roman" w:cs="Times New Roman"/>
          <w:sz w:val="25"/>
          <w:szCs w:val="25"/>
        </w:rPr>
        <w:t>тахографами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(контрольными устройствами (</w:t>
      </w:r>
      <w:r>
        <w:rPr>
          <w:rFonts w:ascii="Times New Roman" w:eastAsia="Times New Roman" w:hAnsi="Times New Roman" w:cs="Times New Roman"/>
          <w:sz w:val="25"/>
          <w:szCs w:val="25"/>
        </w:rPr>
        <w:t>тахографами</w:t>
      </w:r>
      <w:r>
        <w:rPr>
          <w:rFonts w:ascii="Times New Roman" w:eastAsia="Times New Roman" w:hAnsi="Times New Roman" w:cs="Times New Roman"/>
          <w:sz w:val="25"/>
          <w:szCs w:val="25"/>
        </w:rPr>
        <w:t>) регистрации режима труда и отдыха водителей транспортных средств), а также аппаратурой спутниковой навигации ГЛОНАСС или ГЛОНАСС/GPS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OrganizationNamegrp-21rplc-2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3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14.1.2 КоАП РФ, подтверждается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>№ 1</w:t>
      </w:r>
      <w:r>
        <w:rPr>
          <w:rFonts w:ascii="Times New Roman" w:eastAsia="Times New Roman" w:hAnsi="Times New Roman" w:cs="Times New Roman"/>
          <w:sz w:val="25"/>
          <w:szCs w:val="25"/>
        </w:rPr>
        <w:t>94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о проведении постоянного рейда от </w:t>
      </w:r>
      <w:r>
        <w:rPr>
          <w:rStyle w:val="cat-Dategrp-11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актом постоянного рейда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5/9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протоколом осмотра транспортного средства в режиме постоянного рейда от </w:t>
      </w:r>
      <w:r>
        <w:rPr>
          <w:rStyle w:val="cat-Dategrp-14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путевого листа № </w:t>
      </w:r>
      <w:r>
        <w:rPr>
          <w:rFonts w:ascii="Times New Roman" w:eastAsia="Times New Roman" w:hAnsi="Times New Roman" w:cs="Times New Roman"/>
          <w:sz w:val="25"/>
          <w:szCs w:val="25"/>
        </w:rPr>
        <w:t>55</w:t>
      </w:r>
      <w:r>
        <w:rPr>
          <w:rFonts w:ascii="Times New Roman" w:eastAsia="Times New Roman" w:hAnsi="Times New Roman" w:cs="Times New Roman"/>
          <w:sz w:val="25"/>
          <w:szCs w:val="25"/>
        </w:rPr>
        <w:t>88</w:t>
      </w:r>
      <w:r>
        <w:rPr>
          <w:rFonts w:ascii="Times New Roman" w:eastAsia="Times New Roman" w:hAnsi="Times New Roman" w:cs="Times New Roman"/>
          <w:sz w:val="25"/>
          <w:szCs w:val="25"/>
        </w:rPr>
        <w:t>81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свидетельством о регистрации ТС,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реестра лицензий, сведениями об автобусах лицензиата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инструментального обследования,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ЕГРЮЛ. Указанные доказательства не содержат противоречий, согласуются между собой, соответствуют фактическим обстоятельствам дела.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и иные материалы дела составлены уполномоченным на то должностным лицом, с соблюдением установленных законом требований.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признает представленные доказательства относимыми, допустимыми, достоверными и достаточными для разрешения данного дела и квалифицирует действия </w:t>
      </w:r>
      <w:r>
        <w:rPr>
          <w:rStyle w:val="cat-OrganizationNamegrp-21rplc-3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ч. 3 ст. 14.1.2 КоАП РФ, как осуществление предпринимательской деятельности в области транспорта с нарушением условий, предусмотренных лицензией.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руководствуется требованиями ст. ст. 3.1, 3.5, 4.1 КоАП РФ, учитывая характер и степень общественной опасности административного правонарушения. К обстоятельствам, смягчающим административную ответственность </w:t>
      </w:r>
      <w:r>
        <w:rPr>
          <w:rStyle w:val="cat-OrganizationNamegrp-21rplc-3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>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относит совершение администр</w:t>
      </w:r>
      <w:r>
        <w:rPr>
          <w:rFonts w:ascii="Times New Roman" w:eastAsia="Times New Roman" w:hAnsi="Times New Roman" w:cs="Times New Roman"/>
          <w:sz w:val="25"/>
          <w:szCs w:val="25"/>
        </w:rPr>
        <w:t>ативного правонарушения впервые, признание вины.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 виновного лица, не установлено.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обстоятельства дела, характер совершенного административного правонарушения, наличие смягчающих и отсутствие отягчающих ответственность обстоятельств, а также с учетом того, что ранее </w:t>
      </w:r>
      <w:r>
        <w:rPr>
          <w:rStyle w:val="cat-OrganizationNamegrp-21rplc-3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привлекалось к административной ответственности за аналогичное правонарушение, а административное наказание применяется в целях предупреждения совершения новых правонарушений, мировой судья полагает возможным назначить </w:t>
      </w:r>
      <w:r>
        <w:rPr>
          <w:rStyle w:val="cat-OrganizationNamegrp-21rplc-37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пределах санкции статьи, не прибегая к более строгому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 в виде административного штрафа.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Назначение наказания в виде предупреждения, заключающееся в официальном порицании лица, обеспечит реализацию задач административной ответственности.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Исходя из объекта посягательства и характера правонарушения, связанного с нарушением лицензионных требований при осуществлении деятельности в области транспорта,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не находит оснований для применения положений ст. 2.9 КоАП РФ и прекращения производства по делу в связи с малозначительностью.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14.1.2 ч. 3, 29.9, 29.10, 29.11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 РФ,</w:t>
      </w:r>
    </w:p>
    <w:p>
      <w:pPr>
        <w:spacing w:before="0" w:after="0" w:line="293" w:lineRule="atLeast"/>
        <w:ind w:firstLine="851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юридическое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1rplc-3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sz w:val="25"/>
          <w:szCs w:val="25"/>
        </w:rPr>
        <w:t>. 1</w:t>
      </w:r>
      <w:r>
        <w:rPr>
          <w:rFonts w:ascii="Times New Roman" w:eastAsia="Times New Roman" w:hAnsi="Times New Roman" w:cs="Times New Roman"/>
          <w:sz w:val="25"/>
          <w:szCs w:val="25"/>
        </w:rPr>
        <w:t>4.1.2.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предупреждения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может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обжаловано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 </w:t>
      </w:r>
      <w:r>
        <w:rPr>
          <w:rStyle w:val="cat-Addressgrp-1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путем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жалобы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5"/>
          <w:szCs w:val="25"/>
        </w:rPr>
        <w:t>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течение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дня </w:t>
      </w:r>
      <w:r>
        <w:rPr>
          <w:rFonts w:ascii="Times New Roman" w:eastAsia="Times New Roman" w:hAnsi="Times New Roman" w:cs="Times New Roman"/>
          <w:sz w:val="25"/>
          <w:szCs w:val="25"/>
        </w:rPr>
        <w:t>вручения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Style w:val="cat-FIOgrp-18rplc-42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PhoneNumbergrp-25rplc-7">
    <w:name w:val="cat-PhoneNumber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Addressgrp-8rplc-11">
    <w:name w:val="cat-Address grp-8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CarMakeModelgrp-23rplc-14">
    <w:name w:val="cat-CarMakeModel grp-23 rplc-14"/>
    <w:basedOn w:val="DefaultParagraphFont"/>
  </w:style>
  <w:style w:type="character" w:customStyle="1" w:styleId="cat-CarNumbergrp-24rplc-15">
    <w:name w:val="cat-CarNumber grp-24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21rplc-19">
    <w:name w:val="cat-OrganizationName grp-2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OrganizationNamegrp-21rplc-21">
    <w:name w:val="cat-OrganizationName grp-21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OrganizationNamegrp-21rplc-24">
    <w:name w:val="cat-OrganizationName grp-21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SumInWordsgrp-20rplc-27">
    <w:name w:val="cat-SumInWords grp-20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OrganizationNamegrp-21rplc-34">
    <w:name w:val="cat-OrganizationName grp-21 rplc-34"/>
    <w:basedOn w:val="DefaultParagraphFont"/>
  </w:style>
  <w:style w:type="character" w:customStyle="1" w:styleId="cat-OrganizationNamegrp-21rplc-35">
    <w:name w:val="cat-OrganizationName grp-21 rplc-35"/>
    <w:basedOn w:val="DefaultParagraphFont"/>
  </w:style>
  <w:style w:type="character" w:customStyle="1" w:styleId="cat-OrganizationNamegrp-21rplc-36">
    <w:name w:val="cat-OrganizationName grp-21 rplc-36"/>
    <w:basedOn w:val="DefaultParagraphFont"/>
  </w:style>
  <w:style w:type="character" w:customStyle="1" w:styleId="cat-OrganizationNamegrp-21rplc-37">
    <w:name w:val="cat-OrganizationName grp-21 rplc-37"/>
    <w:basedOn w:val="DefaultParagraphFont"/>
  </w:style>
  <w:style w:type="character" w:customStyle="1" w:styleId="cat-OrganizationNamegrp-21rplc-38">
    <w:name w:val="cat-OrganizationName grp-2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