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5-26-1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 2020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г. Бахчисарай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Андрухова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41ED1" w:rsidR="00B10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должностного лица - директора м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униципального бюджетного общеобразовательного учреждения 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школа» Бахчисарайского района Республики Крым П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гражданина РФ, 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урож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зарегистрированной и проживающей по адресу:  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по ч. 13 ст. 19.5 </w:t>
      </w:r>
      <w:r w:rsidRPr="00C41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Кодекса Российской Федерации об административном правонарушении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данным протокола об админис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тративном правонарушении №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A66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1ED1" w:rsidR="00A66DFA">
        <w:rPr>
          <w:rFonts w:ascii="Times New Roman" w:eastAsia="Times New Roman" w:hAnsi="Times New Roman" w:cs="Times New Roman"/>
          <w:sz w:val="20"/>
          <w:szCs w:val="20"/>
          <w:lang w:eastAsia="ru-RU"/>
        </w:rPr>
        <w:t>1 февраля 20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составленного </w:t>
      </w:r>
      <w:r w:rsidRPr="00C41ED1" w:rsidR="00A66DF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заместителем главного государственного инспектора по Бахчисарайскому району по пожарному надзору, заместителем начальника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майором внутренней службы Г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A66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., директор МБОУ «</w:t>
      </w:r>
      <w:r w:rsidRPr="00C41ED1" w:rsidR="00926654">
        <w:rPr>
          <w:rFonts w:ascii="Times New Roman" w:eastAsia="Newton-Regular" w:hAnsi="Times New Roman"/>
          <w:sz w:val="20"/>
          <w:szCs w:val="20"/>
        </w:rPr>
        <w:t>Почтовская</w:t>
      </w:r>
      <w:r w:rsidRPr="00C41ED1">
        <w:rPr>
          <w:rFonts w:ascii="Times New Roman" w:eastAsia="Newton-Regular" w:hAnsi="Times New Roman"/>
          <w:sz w:val="20"/>
          <w:szCs w:val="20"/>
        </w:rPr>
        <w:t xml:space="preserve"> СОШ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М.Ф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выполнила в установленный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предписание 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A66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01.02.2019 и № 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2.2019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устранении нарушений требований пожарной безопасности.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</w:t>
      </w:r>
      <w:r w:rsidRPr="00C41ED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иректор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41ED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СОШ» 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М.Ф</w:t>
      </w:r>
      <w:r w:rsidRPr="00C41ED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вину не признала, пояснила, что с правонарушением не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согласна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так как ею были предприняты все зависящие от неё меры по выполнению предписания об устранении нарушений требований пожарной безопасности. Ею в Управление образования неоднократно подавались заявки на выделение денежных средств, для устранения нарушений, указанных в предписании, однако в связи отсутствием финансирования в необходимых объемах, денежные средства были выделены в размере, которых было недостаточно для устранения всех недостатков. Считает, что с учетом указанных обстоятельств ее вина в совершении правонарушения отсутствует, просила производство по делу прекратить в связи с отсутствием состава административного правонарушения. 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сследовав материалы дела об административном правонарушении, оценив доказательства в их совокупности, мировой судья приходит к следующему.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положениями ст.3  Федерального закона от 21 декабря 1994 г. N 69-ФЗ "О пожарной безопасности"</w:t>
      </w:r>
      <w:r w:rsidRPr="00C41E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41E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hyperlink r:id="rId5" w:anchor="sub_5002" w:history="1">
        <w:r w:rsidRPr="00C41ED1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пожаров</w:t>
        </w:r>
      </w:hyperlink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их тушение и проведение аварийно-спасательных работ. Основными элементами системы обеспечения </w:t>
      </w:r>
      <w:hyperlink r:id="rId5" w:anchor="sub_5001" w:history="1">
        <w:r w:rsidRPr="00C41ED1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пожарной безопасности</w:t>
        </w:r>
      </w:hyperlink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ст. 37 Федеральног</w:t>
      </w:r>
      <w:r w:rsidRPr="00C41ED1" w:rsidR="00703FC5">
        <w:rPr>
          <w:rFonts w:ascii="Times New Roman" w:eastAsia="Times New Roman" w:hAnsi="Times New Roman" w:cs="Times New Roman"/>
          <w:sz w:val="20"/>
          <w:szCs w:val="20"/>
          <w:lang w:eastAsia="ru-RU"/>
        </w:rPr>
        <w:t>о закона от 21 декабря 1994 г. №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"О пожарной безопасности"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содержать в исправном состоянии системы и средства противопожарной защиты;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предприятиях. 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 13 ст. 19.5 КоАП РФ предусмотрена административная ответственность за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217A93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материалов де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>ла усматривается, что 21.02.2020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была проведена внеплановая выездная проверка в отношении Муниципального бюджетного общеобразовательного учреждения «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школа» Бахчисарайского района Республики Крым по адресу: 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контроля за исполнением ранее выданного предписания №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>1.0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2.201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№ </w:t>
      </w:r>
      <w:r w:rsidRPr="00C41ED1" w:rsidR="00714304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2.201</w:t>
      </w:r>
      <w:r w:rsidRPr="00C41ED1" w:rsidR="0028107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угрозы возникновения пожара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материалов дела усматривается, что согласно распоряжению (приказу) органа государственного контроля (надзора), органа муниципального контроля о проведении внеплановой выездной</w:t>
      </w:r>
      <w:r w:rsidRPr="00C41ED1" w:rsidR="00573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проверки юридического лица №1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C41ED1" w:rsidR="00573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</w:t>
      </w:r>
      <w:r w:rsidRPr="00C41ED1" w:rsidR="005731F3">
        <w:rPr>
          <w:rFonts w:ascii="Times New Roman" w:eastAsia="Times New Roman" w:hAnsi="Times New Roman" w:cs="Times New Roman"/>
          <w:sz w:val="20"/>
          <w:szCs w:val="20"/>
          <w:lang w:eastAsia="ru-RU"/>
        </w:rPr>
        <w:t>ря 201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9 и № 140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2019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5731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заместителем начальника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майором внутренней службы Г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573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5731F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01.02.2019 и 20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2.20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была проведена проверка соблюдения требований пожарной безопасности в отношении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СОШ», расположенного по адресу: 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</w:p>
    <w:p w:rsidR="00AE2309" w:rsidRPr="00C41ED1" w:rsidP="00D66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проведенной пров</w:t>
      </w:r>
      <w:r w:rsidRPr="00C41ED1" w:rsidR="00573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ерки было выдано предписание 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01.02.2019 и № 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20.1</w:t>
      </w:r>
      <w:r w:rsidRPr="00C41ED1" w:rsidR="00B27BD6">
        <w:rPr>
          <w:rFonts w:ascii="Times New Roman" w:eastAsia="Times New Roman" w:hAnsi="Times New Roman" w:cs="Times New Roman"/>
          <w:sz w:val="20"/>
          <w:szCs w:val="20"/>
          <w:lang w:eastAsia="ru-RU"/>
        </w:rPr>
        <w:t>2.2019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частности:</w:t>
      </w:r>
    </w:p>
    <w:p w:rsidR="00D66422" w:rsidRPr="00C41ED1" w:rsidP="00D6642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C41ED1" w:rsidR="005731F3">
        <w:rPr>
          <w:rFonts w:ascii="Times New Roman" w:eastAsia="Times New Roman" w:hAnsi="Times New Roman"/>
          <w:sz w:val="20"/>
          <w:szCs w:val="20"/>
          <w:lang w:eastAsia="ru-RU"/>
        </w:rPr>
        <w:t>Территорию школы обеспечить</w:t>
      </w:r>
      <w:r w:rsidRPr="00C41E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41ED1" w:rsidR="005731F3">
        <w:rPr>
          <w:rFonts w:ascii="Times New Roman" w:eastAsia="Times New Roman" w:hAnsi="Times New Roman"/>
          <w:sz w:val="20"/>
          <w:szCs w:val="20"/>
          <w:lang w:eastAsia="ru-RU"/>
        </w:rPr>
        <w:t xml:space="preserve">необходимым запасом воды для </w:t>
      </w:r>
      <w:r w:rsidRPr="00C41ED1">
        <w:rPr>
          <w:rFonts w:ascii="Times New Roman" w:eastAsia="Times New Roman" w:hAnsi="Times New Roman"/>
          <w:sz w:val="20"/>
          <w:szCs w:val="20"/>
          <w:lang w:eastAsia="ru-RU"/>
        </w:rPr>
        <w:t>целей пожаротушения, исходя из расчетных расходов воды на наружное пожаротушение и продолжительности тушения пожаров (ст. 62 Федерального закона от 22.07.2008 года № 123-Ф3 «Технический регламент о требованиях пожарной безопасности», раздел 5,6 СП 8.13130.2009 «Источники наружного противопожарного водоснабжения»).</w:t>
      </w:r>
    </w:p>
    <w:p w:rsidR="00D66422" w:rsidRPr="00C41ED1" w:rsidP="00D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/>
          <w:sz w:val="20"/>
          <w:szCs w:val="20"/>
          <w:lang w:eastAsia="ru-RU"/>
        </w:rPr>
        <w:t>2.Строительные конструкции чердачной кровли здания школы обработа</w:t>
      </w:r>
      <w:r w:rsidRPr="00C41ED1" w:rsidR="005731F3">
        <w:rPr>
          <w:rFonts w:ascii="Times New Roman" w:eastAsia="Times New Roman" w:hAnsi="Times New Roman"/>
          <w:sz w:val="20"/>
          <w:szCs w:val="20"/>
          <w:lang w:eastAsia="ru-RU"/>
        </w:rPr>
        <w:t>ть (пропитать) огнезащитным составом</w:t>
      </w:r>
      <w:r w:rsidRPr="00C41ED1">
        <w:rPr>
          <w:rFonts w:ascii="Times New Roman" w:eastAsia="Times New Roman" w:hAnsi="Times New Roman"/>
          <w:sz w:val="20"/>
          <w:szCs w:val="20"/>
          <w:lang w:eastAsia="ru-RU"/>
        </w:rPr>
        <w:t xml:space="preserve"> (п.6 ст. 52 Федерального закона от 22.07.2008 года № 123-Ф3 «Технический регламент о требованиях пожарной безопасности»).</w:t>
      </w:r>
      <w:r w:rsidRPr="00C41ED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66422" w:rsidRPr="00C41ED1" w:rsidP="00D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C41ED1" w:rsidR="005731F3">
        <w:rPr>
          <w:rFonts w:ascii="Times New Roman" w:eastAsia="Times New Roman" w:hAnsi="Times New Roman"/>
          <w:sz w:val="20"/>
          <w:szCs w:val="20"/>
          <w:lang w:eastAsia="ru-RU"/>
        </w:rPr>
        <w:t>Установить двери</w:t>
      </w:r>
      <w:r w:rsidRPr="00C41ED1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путях эвакуации, предусмотренные проектной документацией (п.23 «Д», п. 33 Правил противопожарного режима в Российской Федерации (утвержденных постановлением Правительства Российской Федерации от 25 апреля 2012 года № 390).</w:t>
      </w:r>
    </w:p>
    <w:p w:rsidR="00AE2309" w:rsidRPr="00C41ED1" w:rsidP="00D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C41ED1" w:rsidR="005731F3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Дверь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электрощитовой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расположенной в подв</w:t>
      </w:r>
      <w:r w:rsidRPr="00C41ED1" w:rsidR="005731F3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 выполнить  противопожарной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2-го типа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 88 Федерального закона от 22.07.2008 года № 123-Ф3 «Технический регламент о требованиях пожарной безопасности», п.5.2.6 СП 4.13130.2013 «Ограничение распространения пожара на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обьектах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защиты»).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акту проверки органом государственного контроля (надзора), органом муниципального 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юридического лица № 18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 20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проведенной на основании распоряжения начальника отдела надзорной деятельности по Бахчисарайскому району УНД и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 МЧС России по Республике Крым подполковником внутр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енней службы А.А. С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>2.2020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была проведена внеплановая проверка в отношении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СОШ», расположенного по адресу: 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Проведенной проверкой устан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овлено, что не 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выполнены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п.п.1,</w:t>
      </w:r>
      <w:r w:rsidRPr="00C41ED1" w:rsidR="007D3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и 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3  вышеуказанных предписаний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Оценивая указанные доказательства, мировой судья считает, ч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то факт невыполнения п. п. 1, 2 и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предписания 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01.02.2019 и № 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20.12.2019 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Однако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статьи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 выяснению подлежит, в том числе виновность лица в совершении административного правонарушения (статья 26.1 Кодекса РФ об административных правонарушениях).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Оценивая доводы директора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М.Ф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 отсутствии ее вины в совершении вменяемого ей правонарушения, мировой судья приходит к следующему. 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копии приказа от 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41ED1" w:rsidR="00BD38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М.Ф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Бахчисарайского района Республики Крым,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продлен срок работы в данной должности на постоянной основе</w:t>
      </w:r>
      <w:r w:rsidRPr="00C41ED1" w:rsidR="0035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 1 ст. 296 ГК РФ установлено, что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ества (в ред. ФЗ от 08.05.2010 №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83-ФЗ).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Устава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СОШ», утвержденного постановлением администрации Бахчисарайского района Республики Крым  </w:t>
      </w:r>
      <w:r w:rsidRPr="00C41ED1" w:rsidR="00C80DBE">
        <w:rPr>
          <w:rFonts w:ascii="Times New Roman" w:eastAsia="Times New Roman" w:hAnsi="Times New Roman" w:cs="Times New Roman"/>
          <w:sz w:val="20"/>
          <w:szCs w:val="20"/>
          <w:lang w:eastAsia="ru-RU"/>
        </w:rPr>
        <w:t>21.12.2016г. №6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41ED1" w:rsidR="00C80DB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усматривается, что указанное юридическое лицо является образовательной некоммерческой организацией (п.1.2), собственником имущества образовательного учреждения я</w:t>
      </w:r>
      <w:r w:rsidRPr="00C41ED1" w:rsidR="00AE4D63">
        <w:rPr>
          <w:rFonts w:ascii="Times New Roman" w:eastAsia="Times New Roman" w:hAnsi="Times New Roman" w:cs="Times New Roman"/>
          <w:sz w:val="20"/>
          <w:szCs w:val="20"/>
          <w:lang w:eastAsia="ru-RU"/>
        </w:rPr>
        <w:t>вляется муниципальное образование Бахчисарайский район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Крым, полномочия которого осуществляет Администрация Бахчисарайского района</w:t>
      </w:r>
      <w:r w:rsidRPr="00C41ED1" w:rsidR="00AE4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Крым (п.5.1), образователь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в своей деятельности подведомственно и подконтрольно Управлению образования (п.1.7), которое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 материально-техническое снабжение образовательного учреждения (п.1.12). Согласно п.5.12 Устава финансовое обеспечение образовательного учреждения осуществляется на основании муниципального задания в пределах бюджетных ассигнований, предусмотренных в бюджете муниципального образования Бахчисарайский район Республики Крым.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Должностная инструкция директора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утверждена 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04.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09.201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начальником 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образования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Бахчисарайского района Республики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Крым.</w:t>
      </w:r>
    </w:p>
    <w:p w:rsidR="00D27042" w:rsidRPr="00C41ED1" w:rsidP="00D45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п.3.27</w:t>
      </w:r>
      <w:r w:rsidRPr="00C41ED1" w:rsidR="00AE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указанной инструкции в должностные обязанности директора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 w:rsidR="00AE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входит выполнение правил по охране труда и пож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арной безопасности. Пунктом 3.9</w:t>
      </w:r>
      <w:r w:rsidRPr="00C41ED1" w:rsidR="00AE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указанной Инструкции предусмотрено, что директор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 w:rsidR="00AE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обязан распоряжаться бюджетными средствами, обеспечивать результативность и эффективность их использ</w:t>
      </w:r>
      <w:r w:rsidRPr="00C41ED1" w:rsidR="00AE4D63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 (</w:t>
      </w:r>
      <w:r w:rsidRPr="00C41ED1" w:rsidR="00AE4D6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C41ED1" w:rsidR="00AE4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18-</w:t>
      </w:r>
      <w:r w:rsidRPr="00C41ED1" w:rsidR="00AE4D63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C41ED1" w:rsidR="00AE230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27042" w:rsidRPr="00C41ED1" w:rsidP="00D45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материалах дела имеются копии заявок: 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26123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>.10.201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41ED1" w:rsidR="0026123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26123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>1.2019</w:t>
      </w:r>
      <w:r w:rsidRPr="00C41ED1" w:rsidR="0026123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26123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C41ED1" w:rsidR="00E51F08">
        <w:rPr>
          <w:rFonts w:ascii="Times New Roman" w:eastAsia="Times New Roman" w:hAnsi="Times New Roman" w:cs="Times New Roman"/>
          <w:sz w:val="20"/>
          <w:szCs w:val="20"/>
          <w:lang w:eastAsia="ru-RU"/>
        </w:rPr>
        <w:t>.01.20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20, № 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 w:rsidR="00D45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16.01.2020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123D" w:rsidRPr="00C41ED1" w:rsidP="00B27B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указанных заявках директор 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СОШ»  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М.Ф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ставит вопрос о выделении сре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я устранения нарушений, выявленных при проверке выполнения требований пожарной безопасности.</w:t>
      </w:r>
      <w:r w:rsidRPr="00C41ED1" w:rsidR="00156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 w:rsidR="0015613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в материалах дела имеются ответы Управления образования, молодежи и спорта Администрации Бахчисарайского района Республики Крым на имя директора МБОУ «</w:t>
      </w:r>
      <w:r w:rsidRPr="00C41ED1" w:rsidR="001561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 w:rsidR="00156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о том, что на противопожарные мероприятия в </w:t>
      </w:r>
      <w:r w:rsidRPr="00C41ED1" w:rsidR="00862DA4">
        <w:rPr>
          <w:rFonts w:ascii="Times New Roman" w:eastAsia="Times New Roman" w:hAnsi="Times New Roman" w:cs="Times New Roman"/>
          <w:sz w:val="20"/>
          <w:szCs w:val="20"/>
          <w:lang w:eastAsia="ru-RU"/>
        </w:rPr>
        <w:t>2019 году на мероприятия по пожарной безопасности были выделены средства в размере 87881,00 рублей  на  установку противопожарных дверей, люков, приобретение,  перезарядку и диагностику огнетушителей</w:t>
      </w:r>
      <w:r w:rsidRPr="00C41ED1" w:rsidR="001561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156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Ввиду отсутствия сре</w:t>
      </w:r>
      <w:r w:rsidRPr="00C41ED1" w:rsidR="00156133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б</w:t>
      </w:r>
      <w:r w:rsidRPr="00C41ED1" w:rsidR="00156133">
        <w:rPr>
          <w:rFonts w:ascii="Times New Roman" w:eastAsia="Times New Roman" w:hAnsi="Times New Roman" w:cs="Times New Roman"/>
          <w:sz w:val="20"/>
          <w:szCs w:val="20"/>
          <w:lang w:eastAsia="ru-RU"/>
        </w:rPr>
        <w:t>юджете все пункты, указанные в предписании устранить не представляется возможным. Нарушения, указанные в предписании, будут устранены по мере финансирования.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Мировым судьей в рамках рассмотрения настоящего дела был направлен запрос в Управление образования молодежи и спорта Администрации Бахчисарайского района Республики Крым о предоставлении информации о принятых мерах по заявкам 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М.Ф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27BD6" w:rsidRPr="00C41ED1" w:rsidP="00B27B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ответ на указанный запрос Управление образования молодежи и спорта Администрации Бахчисарайского района Республики Крым сообщает, что в 2019 году на проведение противопожарных мероприятий МБОУ «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Бахчисарайского района Республики Крым из местного бюджета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были выделены средства в размере 120650,00 рублей. Из указанных средств в 2019 году учреждением были приобретены противопожарные двери на сумму 32300,00 рублей. Был произведен расчет необходимого запаса воды на нужды пожаротушения в размере 30000,00 рублей. Произведена перезарядка огнетушителей на сумму 8350,00 рублей. В декабре 2019 был заключен договор на монтаж тревожной сигнализации на сумму 50000,00 рублей. </w:t>
      </w:r>
    </w:p>
    <w:p w:rsidR="00B1033E" w:rsidRPr="00C41ED1" w:rsidP="00B27B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Бахчисарайского района Республики Крым в 2020 выделены средства в размере 296250,00 рублей на работы по: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приобретению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эвакуационных дверей, обслуживание и перезарядку огнетушителей, огнезащитную обработк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у деревянных конструкций здания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27042" w:rsidRPr="00C41ED1" w:rsidP="00B10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Остальные мероприятия по противопожарной направленности будут финансироваться из местного бюджета по мере выделения дополнительных средств либо из средств экономии</w:t>
      </w:r>
      <w:r w:rsidRPr="00C41ED1" w:rsidR="008D3A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представленных доказательств усматривается наличие обстоятельств, исключающих возможность исполнения предписания точно и в установленный срок, а именно отсутствие у </w:t>
      </w:r>
      <w:r w:rsidRPr="00C41ED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41ED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СОШ» 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реализации мер по устранению установленных нарушений. С учетом изложенного мировой судья приходит к выводу об отсутствии вины в действиях директора </w:t>
      </w:r>
      <w:r w:rsidRPr="00C41ED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МБОУ 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СОШ» 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Понкратовой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М.Ф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поскольку должностным лицом были предприняты все зависящие от нее меры для выполнения предписания 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.*</w:t>
      </w:r>
      <w:r w:rsidRPr="00C41ED1" w:rsidR="00D27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№ 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ч.ч.1,2 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6" w:history="1">
        <w:r w:rsidRPr="00C41ED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положений ч.ч.3,4 ст.1.5 Кодекса Российской Федерации об административных правонарушениях лицо, привлекаемое к административной ответственности, не обязано доказывать свою виновность, то есть, как следует из содержания и смысла изложенной нормы, бремя доказывания виновности лица, привлекаемого к административной ответственности, возлагается на должностное лицо, осуществляющее производство по делу.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Недоказанность (или доказанность отсутствия) вины лица в административном правонарушении означает отсутствие состава административного правонарушения и влечет за собой прекращение производства по делу об административном правонарушении в соответствии с пунктом 2 части 1 статьи 24.5 КоАП РФ.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Оценив все доказательства в совокупности, мировой судья приходит к выводу о прекращении производства по данному делу на основании </w:t>
      </w:r>
      <w:hyperlink r:id="rId7" w:history="1">
        <w:r w:rsidRPr="00C41ED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п. 2 ч. 1 ст. 24.5</w:t>
        </w:r>
      </w:hyperlink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 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2.10, п.2 ч.1 ст. 24.5, ст. 29.10 Кодекса Российской Федерации об административных правонарушениях, мировой судья</w:t>
      </w:r>
    </w:p>
    <w:p w:rsidR="00AE2309" w:rsidRPr="00C41ED1" w:rsidP="00AE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AE2309" w:rsidRPr="00C41ED1" w:rsidP="00AE2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Производство по делу об административном правонарушении в отношении</w:t>
      </w:r>
      <w:r w:rsidRPr="00C41ED1" w:rsidR="00B10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должностного лица - директора м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униципального бюджетного общеобразовательного учреждения 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Почтовская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школа» Бахчисарайского района Республики Крым П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41ED1" w:rsid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41ED1" w:rsidR="0092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прекратить в связи с отсутствием в ее действиях состава административного правонарушения, предусмотренного ч. 13 ст. 19.5 Кодекса Российской Федерации об административных правонарушениях.</w:t>
      </w:r>
    </w:p>
    <w:p w:rsidR="00AE2309" w:rsidRPr="00C41ED1" w:rsidP="00AE230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Постановление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может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быть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обжаловано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в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Бахчисарайский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районный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суд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Республики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Крым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через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мирового судью </w:t>
      </w:r>
      <w:r w:rsidRPr="00C41ED1">
        <w:rPr>
          <w:rFonts w:ascii="Times New Roman" w:eastAsia="Newton-Regular" w:hAnsi="Times New Roman" w:cs="Times New Roman"/>
          <w:sz w:val="20"/>
          <w:szCs w:val="20"/>
          <w:lang w:eastAsia="ru-RU"/>
        </w:rPr>
        <w:t>судебного участка №26 Бахчисарайского судебного района (Бахчисарайский муниципальный район) Республики Крым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 в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течение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десяти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суток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со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дня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вручения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или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получения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копии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41ED1">
        <w:rPr>
          <w:rFonts w:ascii="Times New Roman" w:eastAsia="Arial Unicode MS" w:hAnsi="Times New Roman" w:cs="Times New Roman"/>
          <w:sz w:val="20"/>
          <w:szCs w:val="20"/>
          <w:lang w:eastAsia="zh-CN"/>
        </w:rPr>
        <w:t>постановления.</w:t>
      </w:r>
    </w:p>
    <w:p w:rsidR="00AE2309" w:rsidRPr="00C41ED1" w:rsidP="00AE2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309" w:rsidRPr="00C41ED1" w:rsidP="00AE2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Е.Н.Андрухова</w:t>
      </w:r>
    </w:p>
    <w:p w:rsidR="00C41ED1" w:rsidRPr="00C41ED1" w:rsidP="00AE2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1ED1" w:rsidRPr="00C41ED1" w:rsidP="00C41ED1">
      <w:pPr>
        <w:rPr>
          <w:rFonts w:ascii="Times New Roman" w:hAnsi="Times New Roman"/>
          <w:sz w:val="20"/>
          <w:szCs w:val="20"/>
          <w:lang w:eastAsia="ru-RU"/>
        </w:rPr>
      </w:pPr>
    </w:p>
    <w:p w:rsidR="00C41ED1" w:rsidRPr="00C41ED1" w:rsidP="00C41E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ДЕПЕРСОНИФИКАЦИЮ</w:t>
      </w:r>
    </w:p>
    <w:p w:rsidR="00C41ED1" w:rsidRPr="00C41ED1" w:rsidP="00C41E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</w:t>
      </w:r>
    </w:p>
    <w:p w:rsidR="00C41ED1" w:rsidRPr="00C41ED1" w:rsidP="00C41E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Помощник судьи  _______________ В.В.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Жуган</w:t>
      </w:r>
    </w:p>
    <w:p w:rsidR="00C41ED1" w:rsidRPr="00C41ED1" w:rsidP="00C41E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C41ED1" w:rsidRPr="00C41ED1" w:rsidP="00C41ED1">
      <w:pPr>
        <w:jc w:val="right"/>
        <w:rPr>
          <w:sz w:val="20"/>
          <w:szCs w:val="20"/>
        </w:rPr>
      </w:pP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__________________Е.Н. </w:t>
      </w:r>
      <w:r w:rsidRPr="00C41ED1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Андрухо</w:t>
      </w:r>
      <w:r w:rsidRPr="00C41ED1">
        <w:rPr>
          <w:rFonts w:ascii="Times New Roman" w:eastAsia="Times New Roman" w:hAnsi="Times New Roman"/>
          <w:sz w:val="20"/>
          <w:szCs w:val="20"/>
          <w:lang w:eastAsia="ru-RU"/>
        </w:rPr>
        <w:t>ва</w:t>
      </w:r>
    </w:p>
    <w:p w:rsidR="00C41ED1" w:rsidP="00AE2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1ED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71BE6"/>
    <w:multiLevelType w:val="hybridMultilevel"/>
    <w:tmpl w:val="C03443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55739"/>
    <w:multiLevelType w:val="hybridMultilevel"/>
    <w:tmpl w:val="175C821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64B25"/>
    <w:multiLevelType w:val="multilevel"/>
    <w:tmpl w:val="49000B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Newton-Regular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79"/>
    <w:rsid w:val="000F1285"/>
    <w:rsid w:val="00156133"/>
    <w:rsid w:val="00217A93"/>
    <w:rsid w:val="0026123D"/>
    <w:rsid w:val="00281079"/>
    <w:rsid w:val="0035756C"/>
    <w:rsid w:val="00535D46"/>
    <w:rsid w:val="005731F3"/>
    <w:rsid w:val="00703FC5"/>
    <w:rsid w:val="00714304"/>
    <w:rsid w:val="007D39C8"/>
    <w:rsid w:val="00800479"/>
    <w:rsid w:val="00862DA4"/>
    <w:rsid w:val="008D3A91"/>
    <w:rsid w:val="00926654"/>
    <w:rsid w:val="00A66DFA"/>
    <w:rsid w:val="00AE2309"/>
    <w:rsid w:val="00AE4D63"/>
    <w:rsid w:val="00B1033E"/>
    <w:rsid w:val="00B27BD6"/>
    <w:rsid w:val="00BB3C5B"/>
    <w:rsid w:val="00BD3872"/>
    <w:rsid w:val="00BD5655"/>
    <w:rsid w:val="00BD66AB"/>
    <w:rsid w:val="00C41ED1"/>
    <w:rsid w:val="00C80DBE"/>
    <w:rsid w:val="00D27042"/>
    <w:rsid w:val="00D453F5"/>
    <w:rsid w:val="00D66422"/>
    <w:rsid w:val="00DC40DA"/>
    <w:rsid w:val="00E51F08"/>
    <w:rsid w:val="00F64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3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422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B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3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ms_28\Downloads\05-0361_98_2017_Postanovlenie_o_prekraschenii_proizvodstva_po_delu.docx" TargetMode="External" /><Relationship Id="rId6" Type="http://schemas.openxmlformats.org/officeDocument/2006/relationships/hyperlink" Target="consultantplus://offline/ref=8F1FAFD652467B40906C454D580D02C11C72178F3B629DCFDDD74E349155x3O" TargetMode="External" /><Relationship Id="rId7" Type="http://schemas.openxmlformats.org/officeDocument/2006/relationships/hyperlink" Target="consultantplus://offline/ref=B9749DE3D68DCE4AAE0C2D52C9B24D94B7CAF4F6D1D682D94E39ACFAF09EA766D884495A55CAv7z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F32D-57F5-4850-9251-A1CD73F3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