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5-26-136/2024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руководителя временной администрации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гражданки РФ, </w:t>
      </w:r>
      <w:r>
        <w:rPr>
          <w:rFonts w:ascii="Times New Roman" w:eastAsia="Times New Roman" w:hAnsi="Times New Roman" w:cs="Times New Roman"/>
        </w:rPr>
        <w:t xml:space="preserve">зарегистрированной и </w:t>
      </w:r>
      <w:r>
        <w:rPr>
          <w:rFonts w:ascii="Times New Roman" w:eastAsia="Times New Roman" w:hAnsi="Times New Roman" w:cs="Times New Roman"/>
        </w:rPr>
        <w:t>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 ст. 15.33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руководителем временной администрац</w:t>
      </w:r>
      <w:r>
        <w:rPr>
          <w:rFonts w:ascii="Times New Roman" w:eastAsia="Times New Roman" w:hAnsi="Times New Roman" w:cs="Times New Roman"/>
        </w:rPr>
        <w:t xml:space="preserve">ии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1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3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осознавала противоправность своего бездействия, предвидела возможность наступления негативных последствий из-за непредставления информации в установленный законодательством срок, и сознательно их допускала.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руководителем временной 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привлекалась,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руководителя временной администрац</w:t>
      </w:r>
      <w:r>
        <w:rPr>
          <w:rFonts w:ascii="Times New Roman" w:eastAsia="Times New Roman" w:hAnsi="Times New Roman" w:cs="Times New Roman"/>
        </w:rPr>
        <w:t xml:space="preserve">ии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