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5-26-238/2024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9 месяцев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431992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20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привлекался </w:t>
      </w:r>
      <w:r>
        <w:rPr>
          <w:rFonts w:ascii="Times New Roman" w:eastAsia="Times New Roman" w:hAnsi="Times New Roman" w:cs="Times New Roman"/>
        </w:rPr>
        <w:t>за аналогичные правонарушения 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административной ответственности,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полагает возможным в данном случае, назначить административное наказание в виде административного штрафа, предусмотренное ч. 2 ст. 15.33 КоАП РФ.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перечислять по следующим реквизитам: получатель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(Отделение Фонда пенсионного и социального страхования РФ по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отделение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корр</w:t>
      </w:r>
      <w:r>
        <w:rPr>
          <w:rFonts w:ascii="Times New Roman" w:eastAsia="Times New Roman" w:hAnsi="Times New Roman" w:cs="Times New Roman"/>
        </w:rPr>
        <w:t>/счет 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</w:t>
      </w:r>
      <w:r>
        <w:rPr>
          <w:rFonts w:ascii="Times New Roman" w:eastAsia="Times New Roman" w:hAnsi="Times New Roman" w:cs="Times New Roman"/>
        </w:rPr>
        <w:t xml:space="preserve">/счет 03100643000000017500,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5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79711601230060003140, УИН 797911514062400224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46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