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5-26-286/2024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Style w:val="cat-OrganizationNamegrp-15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</w:rPr>
        <w:t>...</w:t>
      </w:r>
      <w:r>
        <w:rPr>
          <w:rStyle w:val="cat-PassportDatagrp-14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литера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1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5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за период работы, включаемый в стаж для определения права на досрочное назначение пенсии или на</w:t>
      </w:r>
      <w:r>
        <w:rPr>
          <w:rFonts w:ascii="Times New Roman" w:eastAsia="Times New Roman" w:hAnsi="Times New Roman" w:cs="Times New Roman"/>
        </w:rPr>
        <w:t xml:space="preserve"> повышение фиксированной выплаты к пенсии за 2023 на 2-х застрахованных лиц в Отделение Фонда Пенсионного и социального страхования РФ по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1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2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1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1 от </w:t>
      </w:r>
      <w:r>
        <w:rPr>
          <w:rStyle w:val="cat-Dategrp-9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формой ЕФС-1, протоколом проверки отчетности, уведомлением о доставке.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5rplc-2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5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OrganizationNamegrp-15rplc-21">
    <w:name w:val="cat-OrganizationName grp-15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OrganizationNamegrp-15rplc-23">
    <w:name w:val="cat-OrganizationName grp-15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3rplc-27">
    <w:name w:val="cat-FIO grp-1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