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35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Мамедова А.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зарегистрированно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ранее привлекавшего к административной ответственности за совершение однородного административного правонарушения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18810</w:t>
      </w:r>
      <w:r>
        <w:rPr>
          <w:rFonts w:ascii="Times New Roman" w:eastAsia="Times New Roman" w:hAnsi="Times New Roman" w:cs="Times New Roman"/>
          <w:sz w:val="26"/>
          <w:szCs w:val="26"/>
        </w:rPr>
        <w:t>5822</w:t>
      </w:r>
      <w:r>
        <w:rPr>
          <w:rFonts w:ascii="Times New Roman" w:eastAsia="Times New Roman" w:hAnsi="Times New Roman" w:cs="Times New Roman"/>
          <w:sz w:val="26"/>
          <w:szCs w:val="26"/>
        </w:rPr>
        <w:t>503190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поскольку уведомление о данном штрафе не получал.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повторное совершение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однородного админ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истративного правонарушения и не возможностью назначения наказания в виде административного ареста с учётом положений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п. 3 примечаний к ст. 20.25 КоАП РФ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считает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необходимо назначить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Мамедова А. 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8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0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1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2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4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5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6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7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0410760300265003522520164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8rplc-7">
    <w:name w:val="cat-ExternalSystemDefined grp-28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8rplc-23">
    <w:name w:val="cat-ExternalSystemDefined grp-28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0rplc-26">
    <w:name w:val="cat-PhoneNumber grp-20 rplc-26"/>
    <w:basedOn w:val="DefaultParagraphFont"/>
  </w:style>
  <w:style w:type="character" w:customStyle="1" w:styleId="cat-PhoneNumbergrp-21rplc-27">
    <w:name w:val="cat-PhoneNumber grp-21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2rplc-33">
    <w:name w:val="cat-PhoneNumber grp-22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PhoneNumbergrp-26rplc-38">
    <w:name w:val="cat-PhoneNumber grp-26 rplc-38"/>
    <w:basedOn w:val="DefaultParagraphFont"/>
  </w:style>
  <w:style w:type="character" w:customStyle="1" w:styleId="cat-PhoneNumbergrp-27rplc-39">
    <w:name w:val="cat-PhoneNumber grp-27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