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5-26-396/2024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18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пп.5 п.2. ст. 11, п.6 ст. 11 Закона 27-ФЗ «Об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</w:rPr>
        <w:t xml:space="preserve">го страхования» не предоставил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</w:t>
      </w:r>
      <w:r>
        <w:rPr>
          <w:rFonts w:ascii="Times New Roman" w:eastAsia="Times New Roman" w:hAnsi="Times New Roman" w:cs="Times New Roman"/>
        </w:rPr>
        <w:t xml:space="preserve"> дате заключения (прекращения) и иных реквизитах договора ГПХ, а именно: сведения с 3 кадровыми мероприятиями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одного застрахованного лица, в Отделение Фонда Пенсионного и социального страхования РФ по </w:t>
      </w:r>
      <w:r>
        <w:rPr>
          <w:rStyle w:val="cat-Addressgrp-1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134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доставке, иными</w:t>
      </w:r>
      <w:r>
        <w:rPr>
          <w:rFonts w:ascii="Times New Roman" w:eastAsia="Times New Roman" w:hAnsi="Times New Roman" w:cs="Times New Roman"/>
        </w:rPr>
        <w:t xml:space="preserve"> материалами дела.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8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8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OrganizationNamegrp-18rplc-25">
    <w:name w:val="cat-OrganizationName grp-1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OrganizationNamegrp-18rplc-27">
    <w:name w:val="cat-OrganizationName grp-18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