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4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Бугаенко Александр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Александрович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 Российской Федерации, официально нетрудоустроенного,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РК, </w:t>
      </w:r>
      <w:r>
        <w:rPr>
          <w:rStyle w:val="cat-Addressgrp-5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ТП УФМС России по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код 910-011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ч., </w:t>
      </w:r>
      <w:r>
        <w:rPr>
          <w:rFonts w:ascii="Times New Roman" w:eastAsia="Times New Roman" w:hAnsi="Times New Roman" w:cs="Times New Roman"/>
        </w:rPr>
        <w:t xml:space="preserve">гражданин Бугаенко А.А. </w:t>
      </w:r>
      <w:r>
        <w:rPr>
          <w:rFonts w:ascii="Times New Roman" w:eastAsia="Times New Roman" w:hAnsi="Times New Roman" w:cs="Times New Roman"/>
        </w:rPr>
        <w:t xml:space="preserve">по адресу: РК,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 озере расположенном вблизи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нанес телесные повреждения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был согласен,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актом, письмом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,6,9,10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7-8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5,12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ходатайством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сведениями о совершенных данным лицом административных правонарушениях (л.д.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Бугаенко А.А.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Бугаенко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Бугаенко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0410760300295002842306138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