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Артем Юрьевич,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Кочержук Владимир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Николаевич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Российской Федерации, официально нетрудоустроенного,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личность-паспорт Украины </w:t>
      </w:r>
      <w:r>
        <w:rPr>
          <w:rStyle w:val="cat-UserDefinedgrp-25rplc-1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выдан </w:t>
      </w: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АР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около </w:t>
      </w:r>
      <w:r>
        <w:rPr>
          <w:rStyle w:val="cat-Timegrp-22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гражданин Кочержук В.Н. находясь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7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вблизи д.4, </w:t>
      </w:r>
      <w:r>
        <w:rPr>
          <w:rStyle w:val="cat-Addressgrp-8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словесного конфликта с гр.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причинил последней </w:t>
      </w:r>
      <w:r>
        <w:rPr>
          <w:rFonts w:ascii="Times New Roman" w:eastAsia="Times New Roman" w:hAnsi="Times New Roman" w:cs="Times New Roman"/>
        </w:rPr>
        <w:t>телесные повреждения, а именно нанес несколько ударов</w:t>
      </w:r>
      <w:r>
        <w:rPr>
          <w:rFonts w:ascii="Times New Roman" w:eastAsia="Times New Roman" w:hAnsi="Times New Roman" w:cs="Times New Roman"/>
        </w:rPr>
        <w:t xml:space="preserve"> рукой в область лица</w:t>
      </w:r>
      <w:r>
        <w:rPr>
          <w:rFonts w:ascii="Times New Roman" w:eastAsia="Times New Roman" w:hAnsi="Times New Roman" w:cs="Times New Roman"/>
        </w:rPr>
        <w:t>, причинившие 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эти действия не содержат уголовно наказуемого деяния,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оцениваются как повреждения, не причинившие вред здоровью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не повлекш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последствий, указанных в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115 УК РФ</w:t>
        </w:r>
      </w:hyperlink>
      <w:r>
        <w:rPr>
          <w:rFonts w:ascii="Times New Roman" w:eastAsia="Times New Roman" w:hAnsi="Times New Roman" w:cs="Times New Roman"/>
        </w:rPr>
        <w:t xml:space="preserve">, то есть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ст.6.1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 свою вину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</w:t>
      </w:r>
      <w:r>
        <w:rPr>
          <w:rFonts w:ascii="Times New Roman" w:eastAsia="Times New Roman" w:hAnsi="Times New Roman" w:cs="Times New Roman"/>
        </w:rPr>
        <w:t>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соглас</w:t>
      </w:r>
      <w:r>
        <w:rPr>
          <w:rFonts w:ascii="Times New Roman" w:eastAsia="Times New Roman" w:hAnsi="Times New Roman" w:cs="Times New Roman"/>
        </w:rPr>
        <w:t>ился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строго не наказывать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 и ходатайств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пояснения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что в действиях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</w:t>
      </w:r>
      <w:r>
        <w:rPr>
          <w:rFonts w:ascii="Times New Roman" w:eastAsia="Times New Roman" w:hAnsi="Times New Roman" w:cs="Times New Roman"/>
        </w:rPr>
        <w:t>ется нарушение</w:t>
      </w:r>
      <w:r>
        <w:rPr>
          <w:rFonts w:ascii="Times New Roman" w:eastAsia="Times New Roman" w:hAnsi="Times New Roman" w:cs="Times New Roman"/>
        </w:rPr>
        <w:t xml:space="preserve"> требований ст.</w:t>
      </w: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24.1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Доказательства в силу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825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письмом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КУСП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3,6,7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4,9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ходатайством, </w:t>
      </w:r>
      <w:r>
        <w:rPr>
          <w:rFonts w:ascii="Times New Roman" w:eastAsia="Times New Roman" w:hAnsi="Times New Roman" w:cs="Times New Roman"/>
        </w:rPr>
        <w:t xml:space="preserve">копиями документов (л.д. </w:t>
      </w:r>
      <w:r>
        <w:rPr>
          <w:rFonts w:ascii="Times New Roman" w:eastAsia="Times New Roman" w:hAnsi="Times New Roman" w:cs="Times New Roman"/>
        </w:rPr>
        <w:t>10,13</w:t>
      </w:r>
      <w:r>
        <w:rPr>
          <w:rFonts w:ascii="Times New Roman" w:eastAsia="Times New Roman" w:hAnsi="Times New Roman" w:cs="Times New Roman"/>
        </w:rPr>
        <w:t>,14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,15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сведениями о совершенных данным лицом административных правонарушениях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1-12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Кочержук В.Н.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>, который ранее неоднократно привлекался к административной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уголовной </w:t>
      </w:r>
      <w:r>
        <w:rPr>
          <w:rFonts w:ascii="Times New Roman" w:eastAsia="Times New Roman" w:hAnsi="Times New Roman" w:cs="Times New Roman"/>
        </w:rPr>
        <w:t>ответственности, степень его вины, а также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назначение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ареста, предусмотренных ч. 2 ст. 3.9. КоАП РФ не усматривается, в связи, с чем применению к нему подлежит указанная мера наказания.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ареста сроком на 10 суток, предусмотренное </w:t>
      </w:r>
      <w:r>
        <w:rPr>
          <w:rFonts w:ascii="Times New Roman" w:eastAsia="Times New Roman" w:hAnsi="Times New Roman" w:cs="Times New Roman"/>
        </w:rPr>
        <w:t>ст. 6.1.1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задержания лица исчисляется с момента административного задержания в соответствии со статьей 27.3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 6.1.1</w:t>
      </w:r>
      <w:r>
        <w:rPr>
          <w:rFonts w:ascii="Times New Roman" w:eastAsia="Times New Roman" w:hAnsi="Times New Roman" w:cs="Times New Roman"/>
        </w:rPr>
        <w:t>, ст.ст.29.9 - 29.11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Кочержук Владимира Николаевича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 6.1.1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задержания </w:t>
      </w:r>
      <w:r>
        <w:rPr>
          <w:rFonts w:ascii="Times New Roman" w:eastAsia="Times New Roman" w:hAnsi="Times New Roman" w:cs="Times New Roman"/>
        </w:rPr>
        <w:t>Кочержук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органами внутренних дел с </w:t>
      </w:r>
      <w:r>
        <w:rPr>
          <w:rStyle w:val="cat-Timegrp-23rplc-3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Timegrp-23rplc-39">
    <w:name w:val="cat-Time grp-23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consultantplus://offline/ref=75E1EB7CD9C9237D3913F5416FE8668BA5980224510FEA8A88275E3684A8369E5BB010058C821980KFJ0L" TargetMode="External" /><Relationship Id="rId9" Type="http://schemas.openxmlformats.org/officeDocument/2006/relationships/hyperlink" Target="consultantplus://offline/ref=75E1EB7CD9C9237D3913F5416FE8668BA5980224510FEA8A88275E3684A8369E5BB010058583K1J8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